
<file path=[Content_Types].xml><?xml version="1.0" encoding="utf-8"?>
<Types xmlns="http://schemas.openxmlformats.org/package/2006/content-types">
  <Default Extension="png" ContentType="image/png"/>
  <Default Extension="jpeg" ContentType="image/jpeg"/>
  <Default Extension="jpg" ContentType="image/jpeg"/>
  <Default Extension="bmp" ContentType="image/bmp"/>
  <Default Extension="gif" ContentType="image/gif"/>
  <Default Extension="svg" ContentType="image/svg+xml"/>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header1.xml" ContentType="application/vnd.openxmlformats-officedocument.wordprocessingml.header+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xmlns:wp14="http://schemas.microsoft.com/office/word/2010/wordml" w14:paraId="672A6659" wp14:textId="77777777">
      <w:pPr>
        <w:spacing w:before="0" w:after="0" w:line="480" w:lineRule="auto"/>
      </w:pPr>
    </w:p>
    <w:p xmlns:wp14="http://schemas.microsoft.com/office/word/2010/wordml" w14:paraId="0A37501D" wp14:textId="77777777">
      <w:pPr>
        <w:spacing w:before="0" w:after="0" w:line="480" w:lineRule="auto"/>
      </w:pPr>
    </w:p>
    <w:p xmlns:wp14="http://schemas.microsoft.com/office/word/2010/wordml" w14:paraId="5DAB6C7B" wp14:textId="77777777">
      <w:pPr>
        <w:spacing w:before="0" w:after="0" w:line="480" w:lineRule="auto"/>
      </w:pPr>
    </w:p>
    <w:p xmlns:wp14="http://schemas.microsoft.com/office/word/2010/wordml" w14:paraId="281B1126" wp14:textId="77777777">
      <w:pPr>
        <w:spacing w:before="0" w:after="0" w:line="480" w:lineRule="auto"/>
        <w:ind/>
        <w:jc w:val="center"/>
      </w:pPr>
      <w:r w:rsidRPr="4A2C92AA" w:rsidR="4A2C92AA">
        <w:rPr>
          <w:rFonts w:ascii="Times New Roman" w:hAnsi="Times New Roman" w:eastAsia="Times New Roman" w:cs="Times New Roman"/>
          <w:b w:val="1"/>
          <w:bCs w:val="1"/>
          <w:i w:val="0"/>
          <w:iCs w:val="0"/>
          <w:sz w:val="24"/>
          <w:szCs w:val="24"/>
        </w:rPr>
        <w:t>UNIÓN NACIONALISTA COLOMBIANA</w:t>
      </w:r>
    </w:p>
    <w:p xmlns:wp14="http://schemas.microsoft.com/office/word/2010/wordml" w14:paraId="0CDAEE1E" wp14:textId="2B7BF48F">
      <w:pPr>
        <w:spacing w:before="0" w:after="0" w:line="480" w:lineRule="auto"/>
        <w:ind/>
        <w:jc w:val="center"/>
      </w:pPr>
      <w:r w:rsidRPr="4A2C92AA" w:rsidR="4A2C92AA">
        <w:rPr>
          <w:rFonts w:ascii="Times New Roman" w:hAnsi="Times New Roman" w:eastAsia="Times New Roman" w:cs="Times New Roman"/>
          <w:b w:val="0"/>
          <w:bCs w:val="0"/>
          <w:i w:val="0"/>
          <w:iCs w:val="0"/>
          <w:sz w:val="24"/>
          <w:szCs w:val="24"/>
        </w:rPr>
        <w:t xml:space="preserve">UNC </w:t>
      </w:r>
    </w:p>
    <w:p xmlns:wp14="http://schemas.microsoft.com/office/word/2010/wordml" w14:paraId="02EB378F" wp14:textId="77777777">
      <w:pPr>
        <w:spacing w:before="0" w:after="0" w:line="480" w:lineRule="auto"/>
      </w:pPr>
    </w:p>
    <w:p xmlns:wp14="http://schemas.microsoft.com/office/word/2010/wordml" w:rsidP="4A2C92AA" w14:paraId="6A05A809" wp14:textId="77777777">
      <w:pPr>
        <w:pBdr>
          <w:bottom w:val="single" w:color="1A1A2E" w:sz="12" w:space="1"/>
        </w:pBdr>
        <w:spacing w:before="0" w:after="0"/>
      </w:pPr>
    </w:p>
    <w:p xmlns:wp14="http://schemas.microsoft.com/office/word/2010/wordml" w14:paraId="5A39BBE3" wp14:textId="77777777">
      <w:pPr>
        <w:spacing w:before="0" w:after="0" w:line="480" w:lineRule="auto"/>
      </w:pPr>
    </w:p>
    <w:p xmlns:wp14="http://schemas.microsoft.com/office/word/2010/wordml" w14:paraId="056C24F6" wp14:textId="77777777">
      <w:pPr>
        <w:spacing w:before="0" w:after="0" w:line="480" w:lineRule="auto"/>
        <w:ind/>
        <w:jc w:val="center"/>
      </w:pPr>
      <w:r w:rsidRPr="4A2C92AA" w:rsidR="4A2C92AA">
        <w:rPr>
          <w:rFonts w:ascii="Times New Roman" w:hAnsi="Times New Roman" w:eastAsia="Times New Roman" w:cs="Times New Roman"/>
          <w:b w:val="1"/>
          <w:bCs w:val="1"/>
          <w:i w:val="0"/>
          <w:iCs w:val="0"/>
          <w:sz w:val="24"/>
          <w:szCs w:val="24"/>
        </w:rPr>
        <w:t>El Petrismo como Versión Local del Populismo de Izquierda Latinoamericano:</w:t>
      </w:r>
    </w:p>
    <w:p xmlns:wp14="http://schemas.microsoft.com/office/word/2010/wordml" w14:paraId="148D8B11" wp14:textId="77777777">
      <w:pPr>
        <w:spacing w:before="0" w:after="0" w:line="480" w:lineRule="auto"/>
        <w:ind/>
        <w:jc w:val="center"/>
      </w:pPr>
      <w:r w:rsidRPr="4A2C92AA" w:rsidR="4A2C92AA">
        <w:rPr>
          <w:rFonts w:ascii="Times New Roman" w:hAnsi="Times New Roman" w:eastAsia="Times New Roman" w:cs="Times New Roman"/>
          <w:b w:val="1"/>
          <w:bCs w:val="1"/>
          <w:i w:val="0"/>
          <w:iCs w:val="0"/>
          <w:sz w:val="24"/>
          <w:szCs w:val="24"/>
        </w:rPr>
        <w:t>Anatomía de un Fenómeno Político y sus Implicaciones para el Conservadurismo Colombiano</w:t>
      </w:r>
    </w:p>
    <w:p xmlns:wp14="http://schemas.microsoft.com/office/word/2010/wordml" w14:paraId="41C8F396" wp14:textId="77777777">
      <w:pPr>
        <w:spacing w:before="0" w:after="0" w:line="480" w:lineRule="auto"/>
      </w:pPr>
    </w:p>
    <w:p xmlns:wp14="http://schemas.microsoft.com/office/word/2010/wordml" w:rsidP="4A2C92AA" w14:paraId="72A3D3EC" wp14:textId="77777777">
      <w:pPr>
        <w:pBdr>
          <w:bottom w:val="single" w:color="1A1A2E" w:sz="12" w:space="1"/>
        </w:pBdr>
        <w:spacing w:before="0" w:after="0"/>
      </w:pPr>
    </w:p>
    <w:p xmlns:wp14="http://schemas.microsoft.com/office/word/2010/wordml" w14:paraId="0D0B940D" wp14:textId="77777777">
      <w:pPr>
        <w:spacing w:before="0" w:after="0" w:line="480" w:lineRule="auto"/>
      </w:pPr>
    </w:p>
    <w:p xmlns:wp14="http://schemas.microsoft.com/office/word/2010/wordml" w14:paraId="0E27B00A" wp14:textId="77777777">
      <w:pPr>
        <w:spacing w:before="0" w:after="0" w:line="480" w:lineRule="auto"/>
      </w:pPr>
    </w:p>
    <w:p xmlns:wp14="http://schemas.microsoft.com/office/word/2010/wordml" w14:paraId="1F6205EA" wp14:textId="77777777">
      <w:pPr>
        <w:spacing w:before="0" w:after="0" w:line="480" w:lineRule="auto"/>
        <w:ind/>
        <w:jc w:val="center"/>
      </w:pPr>
      <w:r w:rsidRPr="4A2C92AA" w:rsidR="4A2C92AA">
        <w:rPr>
          <w:rFonts w:ascii="Times New Roman" w:hAnsi="Times New Roman" w:eastAsia="Times New Roman" w:cs="Times New Roman"/>
          <w:b w:val="0"/>
          <w:bCs w:val="0"/>
          <w:i w:val="0"/>
          <w:iCs w:val="0"/>
          <w:sz w:val="24"/>
          <w:szCs w:val="24"/>
        </w:rPr>
        <w:t>Área de Doctrina e Ideología</w:t>
      </w:r>
    </w:p>
    <w:p w:rsidR="34BC2C43" w:rsidP="4A2C92AA" w:rsidRDefault="34BC2C43" w14:paraId="2BE00FEB" w14:textId="6F7CCDF8">
      <w:pPr>
        <w:spacing w:before="0" w:after="0" w:line="480" w:lineRule="auto"/>
        <w:jc w:val="center"/>
      </w:pPr>
      <w:r w:rsidRPr="4A2C92AA" w:rsidR="34BC2C43">
        <w:rPr>
          <w:rFonts w:ascii="Times New Roman" w:hAnsi="Times New Roman" w:eastAsia="Times New Roman" w:cs="Times New Roman"/>
          <w:b w:val="0"/>
          <w:bCs w:val="0"/>
          <w:i w:val="0"/>
          <w:iCs w:val="0"/>
          <w:sz w:val="24"/>
          <w:szCs w:val="24"/>
        </w:rPr>
        <w:t>COSMICUS</w:t>
      </w:r>
    </w:p>
    <w:p xmlns:wp14="http://schemas.microsoft.com/office/word/2010/wordml" w14:paraId="64E3B1A7" wp14:textId="77777777">
      <w:pPr>
        <w:spacing w:before="0" w:after="0" w:line="480" w:lineRule="auto"/>
        <w:ind/>
        <w:jc w:val="center"/>
      </w:pPr>
      <w:r w:rsidRPr="4A2C92AA" w:rsidR="4A2C92AA">
        <w:rPr>
          <w:rFonts w:ascii="Times New Roman" w:hAnsi="Times New Roman" w:eastAsia="Times New Roman" w:cs="Times New Roman"/>
          <w:b w:val="0"/>
          <w:bCs w:val="0"/>
          <w:i w:val="0"/>
          <w:iCs w:val="0"/>
          <w:sz w:val="24"/>
          <w:szCs w:val="24"/>
        </w:rPr>
        <w:t>Unión Nacionalista Colombiana</w:t>
      </w:r>
    </w:p>
    <w:p xmlns:wp14="http://schemas.microsoft.com/office/word/2010/wordml" w14:paraId="60061E4C" wp14:textId="77777777">
      <w:pPr>
        <w:spacing w:before="0" w:after="0" w:line="480" w:lineRule="auto"/>
      </w:pPr>
    </w:p>
    <w:p xmlns:wp14="http://schemas.microsoft.com/office/word/2010/wordml" w14:paraId="24AB26D4" wp14:textId="77777777">
      <w:pPr>
        <w:spacing w:before="0" w:after="0" w:line="480" w:lineRule="auto"/>
        <w:ind/>
        <w:jc w:val="center"/>
      </w:pPr>
      <w:r w:rsidRPr="4A2C92AA" w:rsidR="4A2C92AA">
        <w:rPr>
          <w:rFonts w:ascii="Times New Roman" w:hAnsi="Times New Roman" w:eastAsia="Times New Roman" w:cs="Times New Roman"/>
          <w:b w:val="0"/>
          <w:bCs w:val="0"/>
          <w:i w:val="0"/>
          <w:iCs w:val="0"/>
          <w:sz w:val="24"/>
          <w:szCs w:val="24"/>
        </w:rPr>
        <w:t>Pereira, Risaralda</w:t>
      </w:r>
    </w:p>
    <w:p xmlns:wp14="http://schemas.microsoft.com/office/word/2010/wordml" w14:paraId="4B169B85" wp14:textId="77777777">
      <w:pPr>
        <w:spacing w:before="0" w:after="0" w:line="480" w:lineRule="auto"/>
        <w:ind/>
        <w:jc w:val="center"/>
      </w:pPr>
      <w:r w:rsidRPr="4A2C92AA" w:rsidR="4A2C92AA">
        <w:rPr>
          <w:rFonts w:ascii="Times New Roman" w:hAnsi="Times New Roman" w:eastAsia="Times New Roman" w:cs="Times New Roman"/>
          <w:b w:val="0"/>
          <w:bCs w:val="0"/>
          <w:i w:val="0"/>
          <w:iCs w:val="0"/>
          <w:sz w:val="24"/>
          <w:szCs w:val="24"/>
        </w:rPr>
        <w:t>2026</w:t>
      </w:r>
    </w:p>
    <w:p xmlns:wp14="http://schemas.microsoft.com/office/word/2010/wordml" w14:paraId="44EAFD9C" wp14:textId="77777777">
      <w:pPr>
        <w:spacing w:before="0" w:after="0" w:line="480" w:lineRule="auto"/>
      </w:pPr>
    </w:p>
    <w:p xmlns:wp14="http://schemas.microsoft.com/office/word/2010/wordml" w14:paraId="4B94D5A5" wp14:textId="77777777">
      <w:pPr>
        <w:spacing w:before="0" w:after="0" w:line="480" w:lineRule="auto"/>
      </w:pPr>
    </w:p>
    <w:p xmlns:wp14="http://schemas.microsoft.com/office/word/2010/wordml" w14:paraId="3DEEC669" wp14:textId="77777777">
      <w:pPr>
        <w:spacing w:before="0" w:after="0" w:line="480" w:lineRule="auto"/>
      </w:pPr>
    </w:p>
    <w:p xmlns:wp14="http://schemas.microsoft.com/office/word/2010/wordml" w14:paraId="017677F4" wp14:textId="04A22CE3">
      <w:pPr>
        <w:spacing w:before="0" w:after="0" w:line="480" w:lineRule="auto"/>
        <w:ind/>
        <w:jc w:val="center"/>
      </w:pPr>
      <w:r w:rsidRPr="4A2C92AA" w:rsidR="4A2C92AA">
        <w:rPr>
          <w:rFonts w:ascii="Times New Roman" w:hAnsi="Times New Roman" w:eastAsia="Times New Roman" w:cs="Times New Roman"/>
          <w:b w:val="0"/>
          <w:bCs w:val="0"/>
          <w:i w:val="1"/>
          <w:iCs w:val="1"/>
          <w:sz w:val="24"/>
          <w:szCs w:val="24"/>
        </w:rPr>
        <w:t xml:space="preserve">Nota del </w:t>
      </w:r>
      <w:r w:rsidRPr="4A2C92AA" w:rsidR="4A2C92AA">
        <w:rPr>
          <w:rFonts w:ascii="Times New Roman" w:hAnsi="Times New Roman" w:eastAsia="Times New Roman" w:cs="Times New Roman"/>
          <w:b w:val="0"/>
          <w:bCs w:val="0"/>
          <w:i w:val="1"/>
          <w:iCs w:val="1"/>
          <w:sz w:val="24"/>
          <w:szCs w:val="24"/>
        </w:rPr>
        <w:t>autor</w:t>
      </w:r>
      <w:r w:rsidRPr="4A2C92AA" w:rsidR="4A2C92AA">
        <w:rPr>
          <w:rFonts w:ascii="Times New Roman" w:hAnsi="Times New Roman" w:eastAsia="Times New Roman" w:cs="Times New Roman"/>
          <w:b w:val="0"/>
          <w:bCs w:val="0"/>
          <w:i w:val="1"/>
          <w:iCs w:val="1"/>
          <w:sz w:val="24"/>
          <w:szCs w:val="24"/>
        </w:rPr>
        <w:t xml:space="preserve">: Este </w:t>
      </w:r>
      <w:r w:rsidRPr="4A2C92AA" w:rsidR="4A2C92AA">
        <w:rPr>
          <w:rFonts w:ascii="Times New Roman" w:hAnsi="Times New Roman" w:eastAsia="Times New Roman" w:cs="Times New Roman"/>
          <w:b w:val="0"/>
          <w:bCs w:val="0"/>
          <w:i w:val="1"/>
          <w:iCs w:val="1"/>
          <w:sz w:val="24"/>
          <w:szCs w:val="24"/>
        </w:rPr>
        <w:t>documento</w:t>
      </w:r>
      <w:r w:rsidRPr="4A2C92AA" w:rsidR="4A2C92AA">
        <w:rPr>
          <w:rFonts w:ascii="Times New Roman" w:hAnsi="Times New Roman" w:eastAsia="Times New Roman" w:cs="Times New Roman"/>
          <w:b w:val="0"/>
          <w:bCs w:val="0"/>
          <w:i w:val="1"/>
          <w:iCs w:val="1"/>
          <w:sz w:val="24"/>
          <w:szCs w:val="24"/>
        </w:rPr>
        <w:t xml:space="preserve"> es </w:t>
      </w:r>
      <w:r w:rsidRPr="4A2C92AA" w:rsidR="4A2C92AA">
        <w:rPr>
          <w:rFonts w:ascii="Times New Roman" w:hAnsi="Times New Roman" w:eastAsia="Times New Roman" w:cs="Times New Roman"/>
          <w:b w:val="0"/>
          <w:bCs w:val="0"/>
          <w:i w:val="1"/>
          <w:iCs w:val="1"/>
          <w:sz w:val="24"/>
          <w:szCs w:val="24"/>
        </w:rPr>
        <w:t>producción</w:t>
      </w:r>
      <w:r w:rsidRPr="4A2C92AA" w:rsidR="4A2C92AA">
        <w:rPr>
          <w:rFonts w:ascii="Times New Roman" w:hAnsi="Times New Roman" w:eastAsia="Times New Roman" w:cs="Times New Roman"/>
          <w:b w:val="0"/>
          <w:bCs w:val="0"/>
          <w:i w:val="1"/>
          <w:iCs w:val="1"/>
          <w:sz w:val="24"/>
          <w:szCs w:val="24"/>
        </w:rPr>
        <w:t xml:space="preserve"> </w:t>
      </w:r>
      <w:r w:rsidRPr="4A2C92AA" w:rsidR="4A2C92AA">
        <w:rPr>
          <w:rFonts w:ascii="Times New Roman" w:hAnsi="Times New Roman" w:eastAsia="Times New Roman" w:cs="Times New Roman"/>
          <w:b w:val="0"/>
          <w:bCs w:val="0"/>
          <w:i w:val="1"/>
          <w:iCs w:val="1"/>
          <w:sz w:val="24"/>
          <w:szCs w:val="24"/>
        </w:rPr>
        <w:t>intelectual</w:t>
      </w:r>
      <w:r w:rsidRPr="4A2C92AA" w:rsidR="4A2C92AA">
        <w:rPr>
          <w:rFonts w:ascii="Times New Roman" w:hAnsi="Times New Roman" w:eastAsia="Times New Roman" w:cs="Times New Roman"/>
          <w:b w:val="0"/>
          <w:bCs w:val="0"/>
          <w:i w:val="1"/>
          <w:iCs w:val="1"/>
          <w:sz w:val="24"/>
          <w:szCs w:val="24"/>
        </w:rPr>
        <w:t xml:space="preserve"> de la Unión </w:t>
      </w:r>
      <w:r w:rsidRPr="4A2C92AA" w:rsidR="4A2C92AA">
        <w:rPr>
          <w:rFonts w:ascii="Times New Roman" w:hAnsi="Times New Roman" w:eastAsia="Times New Roman" w:cs="Times New Roman"/>
          <w:b w:val="0"/>
          <w:bCs w:val="0"/>
          <w:i w:val="1"/>
          <w:iCs w:val="1"/>
          <w:sz w:val="24"/>
          <w:szCs w:val="24"/>
        </w:rPr>
        <w:t>Nacionalista</w:t>
      </w:r>
      <w:r w:rsidRPr="4A2C92AA" w:rsidR="4A2C92AA">
        <w:rPr>
          <w:rFonts w:ascii="Times New Roman" w:hAnsi="Times New Roman" w:eastAsia="Times New Roman" w:cs="Times New Roman"/>
          <w:b w:val="0"/>
          <w:bCs w:val="0"/>
          <w:i w:val="1"/>
          <w:iCs w:val="1"/>
          <w:sz w:val="24"/>
          <w:szCs w:val="24"/>
        </w:rPr>
        <w:t xml:space="preserve"> Colombiana (UNC) con fines </w:t>
      </w:r>
      <w:r w:rsidRPr="4A2C92AA" w:rsidR="4A2C92AA">
        <w:rPr>
          <w:rFonts w:ascii="Times New Roman" w:hAnsi="Times New Roman" w:eastAsia="Times New Roman" w:cs="Times New Roman"/>
          <w:b w:val="0"/>
          <w:bCs w:val="0"/>
          <w:i w:val="1"/>
          <w:iCs w:val="1"/>
          <w:sz w:val="24"/>
          <w:szCs w:val="24"/>
        </w:rPr>
        <w:t>doctrinarios</w:t>
      </w:r>
      <w:r w:rsidRPr="4A2C92AA" w:rsidR="4A2C92AA">
        <w:rPr>
          <w:rFonts w:ascii="Times New Roman" w:hAnsi="Times New Roman" w:eastAsia="Times New Roman" w:cs="Times New Roman"/>
          <w:b w:val="0"/>
          <w:bCs w:val="0"/>
          <w:i w:val="1"/>
          <w:iCs w:val="1"/>
          <w:sz w:val="24"/>
          <w:szCs w:val="24"/>
        </w:rPr>
        <w:t xml:space="preserve"> e </w:t>
      </w:r>
      <w:r w:rsidRPr="4A2C92AA" w:rsidR="4A2C92AA">
        <w:rPr>
          <w:rFonts w:ascii="Times New Roman" w:hAnsi="Times New Roman" w:eastAsia="Times New Roman" w:cs="Times New Roman"/>
          <w:b w:val="0"/>
          <w:bCs w:val="0"/>
          <w:i w:val="1"/>
          <w:iCs w:val="1"/>
          <w:sz w:val="24"/>
          <w:szCs w:val="24"/>
        </w:rPr>
        <w:t>investigativos</w:t>
      </w:r>
      <w:r w:rsidRPr="4A2C92AA" w:rsidR="4A2C92AA">
        <w:rPr>
          <w:rFonts w:ascii="Times New Roman" w:hAnsi="Times New Roman" w:eastAsia="Times New Roman" w:cs="Times New Roman"/>
          <w:b w:val="0"/>
          <w:bCs w:val="0"/>
          <w:i w:val="1"/>
          <w:iCs w:val="1"/>
          <w:sz w:val="24"/>
          <w:szCs w:val="24"/>
        </w:rPr>
        <w:t>.</w:t>
      </w:r>
    </w:p>
    <w:p xmlns:wp14="http://schemas.microsoft.com/office/word/2010/wordml" w14:paraId="3656B9AB" wp14:textId="77777777">
      <w:r>
        <w:br w:type="page"/>
      </w:r>
    </w:p>
    <w:p xmlns:wp14="http://schemas.microsoft.com/office/word/2010/wordml" w14:paraId="6D2BACD1" wp14:textId="77777777">
      <w:pPr>
        <w:spacing w:before="0" w:after="0" w:line="480" w:lineRule="auto"/>
        <w:jc w:val="center"/>
      </w:pPr>
      <w:r w:rsidRPr="4A2C92AA" w:rsidR="4A2C92AA">
        <w:rPr>
          <w:rFonts w:ascii="Times New Roman" w:hAnsi="Times New Roman" w:eastAsia="Times New Roman" w:cs="Times New Roman"/>
          <w:b w:val="1"/>
          <w:bCs w:val="1"/>
          <w:sz w:val="24"/>
          <w:szCs w:val="24"/>
        </w:rPr>
        <w:t>Resumen</w:t>
      </w:r>
    </w:p>
    <w:p xmlns:wp14="http://schemas.microsoft.com/office/word/2010/wordml" w14:paraId="45FB0818" wp14:textId="77777777">
      <w:pPr>
        <w:spacing w:before="0" w:after="0" w:line="480" w:lineRule="auto"/>
      </w:pPr>
    </w:p>
    <w:p xmlns:wp14="http://schemas.microsoft.com/office/word/2010/wordml" w14:paraId="0460794E" wp14:textId="77777777">
      <w:pPr>
        <w:spacing w:before="0" w:after="0" w:line="480" w:lineRule="auto"/>
        <w:ind w:firstLine="720"/>
        <w:jc w:val="both"/>
      </w:pPr>
      <w:r w:rsidRPr="4A2C92AA" w:rsidR="4A2C92AA">
        <w:rPr>
          <w:rFonts w:ascii="Times New Roman" w:hAnsi="Times New Roman" w:eastAsia="Times New Roman" w:cs="Times New Roman"/>
          <w:b w:val="0"/>
          <w:bCs w:val="0"/>
          <w:i w:val="0"/>
          <w:iCs w:val="0"/>
          <w:sz w:val="24"/>
          <w:szCs w:val="24"/>
        </w:rPr>
        <w:t>El presente ensayo argumenta que el petrismo —la coalición política encabezada por Gustavo Petro y formalizada en el movimiento Colombia Humana y la coalición Pacto Histórico— constituye la expresión colombiana de un fenómeno político recurrente en América Latina: el populismo de izquierda de tercera ola, caracterizado por la retórica antiestablishment, la movilización identitaria, la expansión clientelar del gasto público, el debilitamiento institucional gradual y la articulación de una narrativa maniquea que divide la sociedad entre el 'pueblo' virtuoso y las 'élites' corruptas. Mediante un análisis comparativo sistemático con los casos venezolano (chavismo), boliviano (evismo), ecuatoriano (correísmo) y argentino (kirchnerismo), se identifican los rasgos estructurales compartidos y las especificidades del caso colombiano. Los datos económicos, electorales e institucionales del período 2022-2025 confirman las hipótesis del argumento. La conclusión sostiene que el petrismo no es una anomalía sino una instancia más de un patrón latinoamericano bien documentado, y que el conservadurismo nacionalista tiene en este diagnóstico tanto una obligación intelectual de análisis como una oportunidad política de articulación alternativa.</w:t>
      </w:r>
    </w:p>
    <w:p xmlns:wp14="http://schemas.microsoft.com/office/word/2010/wordml" w14:paraId="049F31CB" wp14:textId="77777777">
      <w:pPr>
        <w:spacing w:before="0" w:after="0" w:line="480" w:lineRule="auto"/>
      </w:pPr>
    </w:p>
    <w:p xmlns:wp14="http://schemas.microsoft.com/office/word/2010/wordml" w14:paraId="7416D71B" wp14:textId="77777777">
      <w:pPr>
        <w:spacing w:before="0" w:after="0" w:line="480" w:lineRule="auto"/>
        <w:ind/>
        <w:jc w:val="both"/>
      </w:pPr>
      <w:r w:rsidRPr="4A2C92AA" w:rsidR="4A2C92AA">
        <w:rPr>
          <w:rFonts w:ascii="Times New Roman" w:hAnsi="Times New Roman" w:eastAsia="Times New Roman" w:cs="Times New Roman"/>
          <w:b w:val="0"/>
          <w:bCs w:val="0"/>
          <w:i w:val="1"/>
          <w:iCs w:val="1"/>
          <w:sz w:val="24"/>
          <w:szCs w:val="24"/>
        </w:rPr>
        <w:t>Palabras clave: petrismo, populismo de izquierda, América Latina, Colombia, Bolivia, Venezuela, institucionalidad, Pacto Histórico.</w:t>
      </w:r>
    </w:p>
    <w:p xmlns:wp14="http://schemas.microsoft.com/office/word/2010/wordml" w14:paraId="53128261" wp14:textId="77777777">
      <w:r>
        <w:br w:type="page"/>
      </w:r>
    </w:p>
    <w:p xmlns:wp14="http://schemas.microsoft.com/office/word/2010/wordml" w14:paraId="06527987" wp14:textId="77777777">
      <w:pPr>
        <w:spacing w:before="0" w:after="0" w:line="480" w:lineRule="auto"/>
        <w:jc w:val="center"/>
      </w:pPr>
      <w:r w:rsidRPr="4A2C92AA" w:rsidR="4A2C92AA">
        <w:rPr>
          <w:rFonts w:ascii="Times New Roman" w:hAnsi="Times New Roman" w:eastAsia="Times New Roman" w:cs="Times New Roman"/>
          <w:b w:val="1"/>
          <w:bCs w:val="1"/>
          <w:sz w:val="24"/>
          <w:szCs w:val="24"/>
        </w:rPr>
        <w:t>El Petrismo como Versión Local del Populismo de Izquierda Latinoamericano</w:t>
      </w:r>
    </w:p>
    <w:p xmlns:wp14="http://schemas.microsoft.com/office/word/2010/wordml" w14:paraId="62486C05" wp14:textId="77777777">
      <w:pPr>
        <w:spacing w:before="0" w:after="0" w:line="480" w:lineRule="auto"/>
      </w:pPr>
    </w:p>
    <w:p xmlns:wp14="http://schemas.microsoft.com/office/word/2010/wordml" w14:paraId="218C1D73" wp14:textId="77777777">
      <w:pPr>
        <w:spacing w:before="0" w:after="0" w:line="480" w:lineRule="auto"/>
        <w:jc w:val="left"/>
      </w:pPr>
      <w:r w:rsidRPr="4A2C92AA" w:rsidR="4A2C92AA">
        <w:rPr>
          <w:rFonts w:ascii="Times New Roman" w:hAnsi="Times New Roman" w:eastAsia="Times New Roman" w:cs="Times New Roman"/>
          <w:b w:val="1"/>
          <w:bCs w:val="1"/>
          <w:sz w:val="24"/>
          <w:szCs w:val="24"/>
        </w:rPr>
        <w:t>Introducción</w:t>
      </w:r>
    </w:p>
    <w:p xmlns:wp14="http://schemas.microsoft.com/office/word/2010/wordml" w14:paraId="4101652C" wp14:textId="77777777">
      <w:pPr>
        <w:spacing w:before="0" w:after="0" w:line="480" w:lineRule="auto"/>
      </w:pPr>
    </w:p>
    <w:p xmlns:wp14="http://schemas.microsoft.com/office/word/2010/wordml" w14:paraId="70A81CFA" wp14:textId="77777777">
      <w:pPr>
        <w:spacing w:before="0" w:after="0" w:line="480" w:lineRule="auto"/>
        <w:ind w:firstLine="720"/>
        <w:jc w:val="both"/>
      </w:pPr>
      <w:r w:rsidRPr="4A2C92AA" w:rsidR="4A2C92AA">
        <w:rPr>
          <w:rFonts w:ascii="Times New Roman" w:hAnsi="Times New Roman" w:eastAsia="Times New Roman" w:cs="Times New Roman"/>
          <w:b w:val="0"/>
          <w:bCs w:val="0"/>
          <w:i w:val="0"/>
          <w:iCs w:val="0"/>
          <w:sz w:val="24"/>
          <w:szCs w:val="24"/>
        </w:rPr>
        <w:t>El 19 de junio de 2022, Gustavo Francisco Petro Urrego se convirtió en el primer presidente de izquierda en la historia republicana de Colombia, obteniendo el 50.44% de los votos en segunda vuelta frente al candidato Rodolfo Hernández. El hecho fue presentado por sus seguidores como una ruptura histórica con el orden establecido, y por sus críticos como el inicio de una deriva institucional comparable a la que en décadas anteriores había transformado Venezuela, Bolivia y Ecuador. Tres años de gobierno han proporcionado suficiente evidencia empírica para evaluar cuál de las dos lecturas se aproxima más a la realidad.</w:t>
      </w:r>
    </w:p>
    <w:p xmlns:wp14="http://schemas.microsoft.com/office/word/2010/wordml" w14:paraId="4B99056E" wp14:textId="77777777">
      <w:pPr>
        <w:spacing w:before="0" w:after="0" w:line="480" w:lineRule="auto"/>
      </w:pPr>
    </w:p>
    <w:p xmlns:wp14="http://schemas.microsoft.com/office/word/2010/wordml" w14:paraId="7220E40F" wp14:textId="77777777">
      <w:pPr>
        <w:spacing w:before="0" w:after="0" w:line="480" w:lineRule="auto"/>
        <w:ind w:firstLine="720"/>
        <w:jc w:val="both"/>
      </w:pPr>
      <w:r w:rsidRPr="4A2C92AA" w:rsidR="4A2C92AA">
        <w:rPr>
          <w:rFonts w:ascii="Times New Roman" w:hAnsi="Times New Roman" w:eastAsia="Times New Roman" w:cs="Times New Roman"/>
          <w:b w:val="0"/>
          <w:bCs w:val="0"/>
          <w:i w:val="0"/>
          <w:iCs w:val="0"/>
          <w:sz w:val="24"/>
          <w:szCs w:val="24"/>
        </w:rPr>
        <w:t>La tesis de este ensayo es que el petrismo es, en su estructura profunda, una instancia más del populismo de izquierda latinoamericano que Laclau (2005) teorizó, que Chávez inauguró en su forma contemporánea y que se ha reproducido con variaciones locales en Bolivia, Ecuador y Argentina. Esta afirmación no implica que el petrismo sea idéntico al chavismo, ni que Colombia esté condenada a repetir el itinerario venezolano. Implica algo más preciso y más útil analíticamente: que el petrismo comparte con sus predecesores latinoamericanos una gramática política común —un conjunto de operaciones retóricas, institucionales y económicas que siguen una lógica reconocible— y que esta gramática tiene consecuencias predecibles sobre las instituciones, la economía y el tejido social de los países donde se despliega.</w:t>
      </w:r>
    </w:p>
    <w:p xmlns:wp14="http://schemas.microsoft.com/office/word/2010/wordml" w14:paraId="1299C43A" wp14:textId="77777777">
      <w:pPr>
        <w:spacing w:before="0" w:after="0" w:line="480" w:lineRule="auto"/>
      </w:pPr>
    </w:p>
    <w:p xmlns:wp14="http://schemas.microsoft.com/office/word/2010/wordml" w14:paraId="40CF9E74" wp14:textId="77777777">
      <w:pPr>
        <w:spacing w:before="0" w:after="0" w:line="480" w:lineRule="auto"/>
        <w:ind w:firstLine="720"/>
        <w:jc w:val="both"/>
      </w:pPr>
      <w:r w:rsidRPr="4A2C92AA" w:rsidR="4A2C92AA">
        <w:rPr>
          <w:rFonts w:ascii="Times New Roman" w:hAnsi="Times New Roman" w:eastAsia="Times New Roman" w:cs="Times New Roman"/>
          <w:b w:val="0"/>
          <w:bCs w:val="0"/>
          <w:i w:val="0"/>
          <w:iCs w:val="0"/>
          <w:sz w:val="24"/>
          <w:szCs w:val="24"/>
        </w:rPr>
        <w:t>El análisis se organiza en ocho secciones. La primera establece el marco teórico del populismo latinoamericano. La segunda examina los antecedentes y la estructura del petrismo. Las secciones tercera a sexta realizan la comparación con los casos venezolano, boliviano, ecuatoriano y argentino. La séptima sección presenta la evidencia empírica. La octava extrae conclusiones con implicaciones para el conservadurismo colombiano contemporáneo.</w:t>
      </w:r>
    </w:p>
    <w:p xmlns:wp14="http://schemas.microsoft.com/office/word/2010/wordml" w14:paraId="4DDBEF00" wp14:textId="77777777">
      <w:pPr>
        <w:spacing w:before="0" w:after="0" w:line="480" w:lineRule="auto"/>
      </w:pPr>
    </w:p>
    <w:p xmlns:wp14="http://schemas.microsoft.com/office/word/2010/wordml" w14:paraId="0DC034DF" wp14:textId="77777777">
      <w:pPr>
        <w:spacing w:before="0" w:after="0" w:line="480" w:lineRule="auto"/>
        <w:jc w:val="left"/>
      </w:pPr>
      <w:r w:rsidRPr="4A2C92AA" w:rsidR="4A2C92AA">
        <w:rPr>
          <w:rFonts w:ascii="Times New Roman" w:hAnsi="Times New Roman" w:eastAsia="Times New Roman" w:cs="Times New Roman"/>
          <w:b w:val="1"/>
          <w:bCs w:val="1"/>
          <w:sz w:val="24"/>
          <w:szCs w:val="24"/>
        </w:rPr>
        <w:t>I. Marco Teórico: El Populismo de Izquierda como Fenómeno Regional</w:t>
      </w:r>
    </w:p>
    <w:p xmlns:wp14="http://schemas.microsoft.com/office/word/2010/wordml" w14:paraId="3461D779" wp14:textId="77777777">
      <w:pPr>
        <w:spacing w:before="0" w:after="0" w:line="480" w:lineRule="auto"/>
      </w:pPr>
    </w:p>
    <w:p xmlns:wp14="http://schemas.microsoft.com/office/word/2010/wordml" w14:paraId="27C776C1" wp14:textId="77777777">
      <w:pPr>
        <w:spacing w:before="0" w:after="0" w:line="480" w:lineRule="auto"/>
        <w:ind w:firstLine="720"/>
        <w:jc w:val="both"/>
      </w:pPr>
      <w:r w:rsidRPr="4A2C92AA" w:rsidR="4A2C92AA">
        <w:rPr>
          <w:rFonts w:ascii="Times New Roman" w:hAnsi="Times New Roman" w:eastAsia="Times New Roman" w:cs="Times New Roman"/>
          <w:b w:val="0"/>
          <w:bCs w:val="0"/>
          <w:i w:val="0"/>
          <w:iCs w:val="0"/>
          <w:sz w:val="24"/>
          <w:szCs w:val="24"/>
        </w:rPr>
        <w:t>El concepto de populismo ha sido uno de los más debatidos en la ciencia política de las últimas tres décadas. Para los propósitos de este análisis, se adopta la definición ideacional formulada por Cas Mudde y Cristóbal Rovira Kaltwasser (2017): el populismo es una ideología delgada que divide la sociedad en dos campos homogéneos y antagónicos —el 'pueblo puro' y la 'élite corrupta'— y sostiene que la política debe ser expresión de la voluntad general del pueblo. Esta definición tiene la virtud de ser suficientemente precisa para diferenciar el populismo de otros fenómenos políticos y suficientemente amplia para capturar sus variantes de izquierda y derecha.</w:t>
      </w:r>
    </w:p>
    <w:p xmlns:wp14="http://schemas.microsoft.com/office/word/2010/wordml" w14:paraId="3CF2D8B6" wp14:textId="77777777">
      <w:pPr>
        <w:spacing w:before="0" w:after="0" w:line="480" w:lineRule="auto"/>
      </w:pPr>
    </w:p>
    <w:p xmlns:wp14="http://schemas.microsoft.com/office/word/2010/wordml" w14:paraId="01281441" wp14:textId="77777777">
      <w:pPr>
        <w:spacing w:before="0" w:after="0" w:line="480" w:lineRule="auto"/>
        <w:ind w:firstLine="720"/>
        <w:jc w:val="both"/>
      </w:pPr>
      <w:r w:rsidRPr="4A2C92AA" w:rsidR="4A2C92AA">
        <w:rPr>
          <w:rFonts w:ascii="Times New Roman" w:hAnsi="Times New Roman" w:eastAsia="Times New Roman" w:cs="Times New Roman"/>
          <w:b w:val="0"/>
          <w:bCs w:val="0"/>
          <w:i w:val="0"/>
          <w:iCs w:val="0"/>
          <w:sz w:val="24"/>
          <w:szCs w:val="24"/>
        </w:rPr>
        <w:t>El populismo de izquierda latinoamericano, en su versión contemporánea, añade a este núcleo ideológico tres elementos específicos. Primero, una economía política redistributiva que privilegia el gasto social, los subsidios, las nacionalizaciones y la expansión del empleo público como mecanismos de construcción de lealtades políticas. Segundo, una política exterior antiestadounidense que articula el discurso de la soberanía nacional en términos de resistencia al imperialismo. Tercero, una estrategia institucional que consiste en utilizar los mecanismos formales de la democracia —elecciones, asambleas constituyentes, referéndums— para concentrar poder en el ejecutivo y debilitar los contrapesos institucionales (Weyland, 2013; Levitsky y Ziblatt, 2018).</w:t>
      </w:r>
    </w:p>
    <w:p xmlns:wp14="http://schemas.microsoft.com/office/word/2010/wordml" w14:paraId="0FB78278" wp14:textId="77777777">
      <w:pPr>
        <w:spacing w:before="0" w:after="0" w:line="480" w:lineRule="auto"/>
      </w:pPr>
    </w:p>
    <w:p xmlns:wp14="http://schemas.microsoft.com/office/word/2010/wordml" w14:paraId="2E36C06D" wp14:textId="77777777">
      <w:pPr>
        <w:spacing w:before="0" w:after="0" w:line="480" w:lineRule="auto"/>
        <w:ind w:firstLine="720"/>
        <w:jc w:val="both"/>
      </w:pPr>
      <w:r w:rsidRPr="4A2C92AA" w:rsidR="4A2C92AA">
        <w:rPr>
          <w:rFonts w:ascii="Times New Roman" w:hAnsi="Times New Roman" w:eastAsia="Times New Roman" w:cs="Times New Roman"/>
          <w:b w:val="0"/>
          <w:bCs w:val="0"/>
          <w:i w:val="0"/>
          <w:iCs w:val="0"/>
          <w:sz w:val="24"/>
          <w:szCs w:val="24"/>
        </w:rPr>
        <w:t>Ernesto Laclau (2005), el principal teórico de la izquierda que intentó sistematizar el populismo como racionalidad política positiva, argumentó que la construcción de una identidad popular requiere la articulación de demandas heterogéneas en torno a un significante vacío —el 'pueblo'— que opera como punto de unificación equivalencial de múltiples identidades y reclamos. Esta operación retórica, que Laclau presentaba como emancipatoria, tiene sin embargo una consecuencia lógica problemática: el líder que encarna al 'pueblo' se convierte en el árbitro de quién pertenece a esa categoría y quién queda fuera de ella, concentrando en su persona una autoridad que desborda las instituciones representativas ordinarias (Mudde y Rovira Kaltwasser, 2017).</w:t>
      </w:r>
    </w:p>
    <w:p xmlns:wp14="http://schemas.microsoft.com/office/word/2010/wordml" w14:paraId="1FC39945" wp14:textId="77777777">
      <w:pPr>
        <w:spacing w:before="0" w:after="0" w:line="480" w:lineRule="auto"/>
      </w:pPr>
    </w:p>
    <w:p xmlns:wp14="http://schemas.microsoft.com/office/word/2010/wordml" w14:paraId="41A38BBC" wp14:textId="77777777">
      <w:pPr>
        <w:spacing w:before="0" w:after="0" w:line="480" w:lineRule="auto"/>
        <w:ind w:firstLine="720"/>
        <w:jc w:val="both"/>
      </w:pPr>
      <w:r w:rsidRPr="4A2C92AA" w:rsidR="4A2C92AA">
        <w:rPr>
          <w:rFonts w:ascii="Times New Roman" w:hAnsi="Times New Roman" w:eastAsia="Times New Roman" w:cs="Times New Roman"/>
          <w:b w:val="0"/>
          <w:bCs w:val="0"/>
          <w:i w:val="0"/>
          <w:iCs w:val="0"/>
          <w:sz w:val="24"/>
          <w:szCs w:val="24"/>
        </w:rPr>
        <w:t>Steven Levitsky y Lucan Way (2010) han documentado que la concentración ejecutiva del poder en contextos democráticos tiende a producir lo que denominan 'autoritarismo competitivo': regímenes que mantienen las formas electorales de la democracia mientras erosionan sistemáticamente su sustancia. Los casos latinoamericanos de Venezuela, Bolivia y Ecuador ofrecen ilustraciones paradigmáticas de esta dinámica, y el petrismo, como se argumentará, exhibe varios de sus rasgos iniciales.</w:t>
      </w:r>
    </w:p>
    <w:p xmlns:wp14="http://schemas.microsoft.com/office/word/2010/wordml" w14:paraId="0562CB0E" wp14:textId="77777777">
      <w:pPr>
        <w:spacing w:before="0" w:after="0" w:line="480" w:lineRule="auto"/>
      </w:pPr>
    </w:p>
    <w:p xmlns:wp14="http://schemas.microsoft.com/office/word/2010/wordml" w14:paraId="3861DDA1" wp14:textId="77777777">
      <w:pPr>
        <w:spacing w:before="0" w:after="0" w:line="480" w:lineRule="auto"/>
        <w:jc w:val="left"/>
      </w:pPr>
      <w:r w:rsidRPr="4A2C92AA" w:rsidR="4A2C92AA">
        <w:rPr>
          <w:rFonts w:ascii="Times New Roman" w:hAnsi="Times New Roman" w:eastAsia="Times New Roman" w:cs="Times New Roman"/>
          <w:b w:val="1"/>
          <w:bCs w:val="1"/>
          <w:sz w:val="24"/>
          <w:szCs w:val="24"/>
        </w:rPr>
        <w:t>II. El Petrismo: Estructura, Origen y Gramática Política</w:t>
      </w:r>
    </w:p>
    <w:p xmlns:wp14="http://schemas.microsoft.com/office/word/2010/wordml" w14:paraId="34CE0A41" wp14:textId="77777777">
      <w:pPr>
        <w:spacing w:before="0" w:after="0" w:line="480" w:lineRule="auto"/>
      </w:pPr>
    </w:p>
    <w:p xmlns:wp14="http://schemas.microsoft.com/office/word/2010/wordml" w14:paraId="66E94CDF" wp14:textId="77777777">
      <w:pPr>
        <w:spacing w:before="0" w:after="0" w:line="480" w:lineRule="auto"/>
        <w:ind w:firstLine="720"/>
        <w:jc w:val="both"/>
      </w:pPr>
      <w:r w:rsidRPr="4A2C92AA" w:rsidR="4A2C92AA">
        <w:rPr>
          <w:rFonts w:ascii="Times New Roman" w:hAnsi="Times New Roman" w:eastAsia="Times New Roman" w:cs="Times New Roman"/>
          <w:b w:val="0"/>
          <w:bCs w:val="0"/>
          <w:i w:val="0"/>
          <w:iCs w:val="0"/>
          <w:sz w:val="24"/>
          <w:szCs w:val="24"/>
        </w:rPr>
        <w:t>Gustavo Petro tiene una historia política que lo distingue de otros líderes populistas latinoamericanos en un aspecto decisivo: su militancia guerrillera en el M-19 durante los años ochenta. Esta trayectoria no es anecdótica. Le proporciona una narrativa fundacional de resistencia al orden establecido que ha sabido capitalizar políticamente, y establece una continuidad simbólica con la tradición insurreccional latinoamericana que el propio Petro ha cultivado mediante sus referencias constantes a Bolívar, a los movimientos de liberación nacional y a la tradición de la izquierda continental.</w:t>
      </w:r>
    </w:p>
    <w:p xmlns:wp14="http://schemas.microsoft.com/office/word/2010/wordml" w14:paraId="62EBF3C5" wp14:textId="77777777">
      <w:pPr>
        <w:spacing w:before="0" w:after="0" w:line="480" w:lineRule="auto"/>
      </w:pPr>
    </w:p>
    <w:p xmlns:wp14="http://schemas.microsoft.com/office/word/2010/wordml" w14:paraId="7F3E6840" wp14:textId="77777777">
      <w:pPr>
        <w:spacing w:before="0" w:after="0" w:line="480" w:lineRule="auto"/>
        <w:ind w:firstLine="720"/>
        <w:jc w:val="both"/>
      </w:pPr>
      <w:r w:rsidRPr="4A2C92AA" w:rsidR="4A2C92AA">
        <w:rPr>
          <w:rFonts w:ascii="Times New Roman" w:hAnsi="Times New Roman" w:eastAsia="Times New Roman" w:cs="Times New Roman"/>
          <w:b w:val="0"/>
          <w:bCs w:val="0"/>
          <w:i w:val="0"/>
          <w:iCs w:val="0"/>
          <w:sz w:val="24"/>
          <w:szCs w:val="24"/>
        </w:rPr>
        <w:t>La construcción del petrismo como movimiento político tiene varios momentos articulatorios. El primero es su gestión como alcalde de Bogotá (2012-2015), período durante el cual desarrolló un estilo de gobierno caracterizado por el uso intensivo de la figura presidencial como vehículo de comunicación directa con la ciudadanía, la confrontación sistemática con el establecimiento político y empresarial, y las dificultades de gestión administrativa que derivaron en su destitución por la Procuraduría General —luego revertida por medidas cautelares de la Comisión Interamericana de Derechos Humanos—. El segundo momento es su construcción de Colombia Humana como alternativa al bipartidismo y a los partidos tradicionales de izquierda, articulando una amplia coalición de movimientos sociales, sectores progresistas urbanos, comunidades indígenas y afrocolombianas, y el voto de protesta contra el establecimiento (Semana, 2022; El Tiempo, 2022).</w:t>
      </w:r>
    </w:p>
    <w:p xmlns:wp14="http://schemas.microsoft.com/office/word/2010/wordml" w14:paraId="6D98A12B" wp14:textId="77777777">
      <w:pPr>
        <w:spacing w:before="0" w:after="0" w:line="480" w:lineRule="auto"/>
      </w:pPr>
    </w:p>
    <w:p xmlns:wp14="http://schemas.microsoft.com/office/word/2010/wordml" w14:paraId="2BDD4710" wp14:textId="77777777">
      <w:pPr>
        <w:spacing w:before="0" w:after="0" w:line="480" w:lineRule="auto"/>
        <w:ind w:firstLine="720"/>
        <w:jc w:val="both"/>
      </w:pPr>
      <w:r w:rsidRPr="4A2C92AA" w:rsidR="4A2C92AA">
        <w:rPr>
          <w:rFonts w:ascii="Times New Roman" w:hAnsi="Times New Roman" w:eastAsia="Times New Roman" w:cs="Times New Roman"/>
          <w:b w:val="0"/>
          <w:bCs w:val="0"/>
          <w:i w:val="0"/>
          <w:iCs w:val="0"/>
          <w:sz w:val="24"/>
          <w:szCs w:val="24"/>
        </w:rPr>
        <w:t>La gramática política del petrismo responde con precisión al modelo del populismo de izquierda laclauniano. Su significante central es 'el cambio' articulado como ruptura con el 'establecimiento' identificado con el uribismo, el paramilitarismo y el capital financiero. La cadena equivalencial que construye es amplia y heterogénea: campesinos, trabajadores, comunidades étnicas, mujeres, jóvenes universitarios, ambientalistas, víctimas del conflicto armado. El enemigo es igualmente construido como homogéneo: 'las élites', 'los corruptos', 'los que se han robado al país'. Esta operación retórica, clásicamente populista, le permitió construir una coalición electoral suficientemente amplia para ganar la presidencia en 2022 (Registraduría Nacional del Estado Civil, 2022).</w:t>
      </w:r>
    </w:p>
    <w:p xmlns:wp14="http://schemas.microsoft.com/office/word/2010/wordml" w14:paraId="2946DB82" wp14:textId="77777777">
      <w:pPr>
        <w:spacing w:before="0" w:after="0" w:line="480" w:lineRule="auto"/>
      </w:pPr>
    </w:p>
    <w:p xmlns:wp14="http://schemas.microsoft.com/office/word/2010/wordml" w14:paraId="21174009" wp14:textId="77777777">
      <w:pPr>
        <w:spacing w:before="0" w:after="0" w:line="480" w:lineRule="auto"/>
        <w:ind w:firstLine="720"/>
        <w:jc w:val="both"/>
      </w:pPr>
      <w:r w:rsidRPr="4A2C92AA" w:rsidR="4A2C92AA">
        <w:rPr>
          <w:rFonts w:ascii="Times New Roman" w:hAnsi="Times New Roman" w:eastAsia="Times New Roman" w:cs="Times New Roman"/>
          <w:b w:val="0"/>
          <w:bCs w:val="0"/>
          <w:i w:val="0"/>
          <w:iCs w:val="0"/>
          <w:sz w:val="24"/>
          <w:szCs w:val="24"/>
        </w:rPr>
        <w:t>El programa económico del petrismo combina elementos estructuralmente similares a los de sus predecesores latinoamericanos: reforma tributaria de carácter redistributivo, reforma agraria, transición energética que implica la reducción progresiva de la dependencia de los hidrocarburos, expansión del gasto social y mayor intervención estatal en sectores estratégicos. Su política exterior ha adoptado la postura característica del populismo latinoamericano: relaciones cordiales con Venezuela y Cuba, distanciamiento retórico de Estados Unidos y Colombia como parte del bloque atlantista occidental, y protagonismo en foros multilaterales con énfasis en la agenda del Sur Global (Ministerio de Relaciones Exteriores, 2023).</w:t>
      </w:r>
    </w:p>
    <w:p xmlns:wp14="http://schemas.microsoft.com/office/word/2010/wordml" w14:paraId="5997CC1D" wp14:textId="77777777">
      <w:pPr>
        <w:spacing w:before="0" w:after="0" w:line="480" w:lineRule="auto"/>
      </w:pPr>
    </w:p>
    <w:p xmlns:wp14="http://schemas.microsoft.com/office/word/2010/wordml" w14:paraId="4932F46F" wp14:textId="77777777">
      <w:pPr>
        <w:spacing w:before="0" w:after="0" w:line="480" w:lineRule="auto"/>
        <w:jc w:val="left"/>
      </w:pPr>
      <w:r w:rsidRPr="4A2C92AA" w:rsidR="4A2C92AA">
        <w:rPr>
          <w:rFonts w:ascii="Times New Roman" w:hAnsi="Times New Roman" w:eastAsia="Times New Roman" w:cs="Times New Roman"/>
          <w:b w:val="1"/>
          <w:bCs w:val="1"/>
          <w:sz w:val="24"/>
          <w:szCs w:val="24"/>
        </w:rPr>
        <w:t>III. Comparación con Venezuela: El Espejo Chavista</w:t>
      </w:r>
    </w:p>
    <w:p xmlns:wp14="http://schemas.microsoft.com/office/word/2010/wordml" w14:paraId="110FFD37" wp14:textId="77777777">
      <w:pPr>
        <w:spacing w:before="0" w:after="0" w:line="480" w:lineRule="auto"/>
      </w:pPr>
    </w:p>
    <w:p xmlns:wp14="http://schemas.microsoft.com/office/word/2010/wordml" w14:paraId="47B6EA1E" wp14:textId="77777777">
      <w:pPr>
        <w:spacing w:before="0" w:after="0" w:line="480" w:lineRule="auto"/>
        <w:ind w:firstLine="720"/>
        <w:jc w:val="both"/>
      </w:pPr>
      <w:r w:rsidRPr="4A2C92AA" w:rsidR="4A2C92AA">
        <w:rPr>
          <w:rFonts w:ascii="Times New Roman" w:hAnsi="Times New Roman" w:eastAsia="Times New Roman" w:cs="Times New Roman"/>
          <w:b w:val="0"/>
          <w:bCs w:val="0"/>
          <w:i w:val="0"/>
          <w:iCs w:val="0"/>
          <w:sz w:val="24"/>
          <w:szCs w:val="24"/>
        </w:rPr>
        <w:t>El chavismo es el caso de referencia obligado en cualquier análisis del populismo latinoamericano contemporáneo, tanto por su radicalidad como por su duración. Hugo Chávez llegó al poder en 1999 con un discurso de ruptura institucional profunda, articulado en torno a la convocatoria de una Asamblea Constituyente que reemplazara la Constitución de 1961. La nueva Constitución de 1999 refundó el Estado bajo principios que concentraban el poder en el ejecutivo, extendían el período presidencial y establecían mecanismos de democracia directa que en la práctica servían para legitimar decisiones ya tomadas por el líder.</w:t>
      </w:r>
    </w:p>
    <w:p xmlns:wp14="http://schemas.microsoft.com/office/word/2010/wordml" w14:paraId="6B699379" wp14:textId="77777777">
      <w:pPr>
        <w:spacing w:before="0" w:after="0" w:line="480" w:lineRule="auto"/>
      </w:pPr>
    </w:p>
    <w:p xmlns:wp14="http://schemas.microsoft.com/office/word/2010/wordml" w14:paraId="4CAC3689" wp14:textId="77777777">
      <w:pPr>
        <w:spacing w:before="0" w:after="0" w:line="480" w:lineRule="auto"/>
        <w:ind w:firstLine="720"/>
        <w:jc w:val="both"/>
      </w:pPr>
      <w:r w:rsidRPr="4A2C92AA" w:rsidR="4A2C92AA">
        <w:rPr>
          <w:rFonts w:ascii="Times New Roman" w:hAnsi="Times New Roman" w:eastAsia="Times New Roman" w:cs="Times New Roman"/>
          <w:b w:val="0"/>
          <w:bCs w:val="0"/>
          <w:i w:val="0"/>
          <w:iCs w:val="0"/>
          <w:sz w:val="24"/>
          <w:szCs w:val="24"/>
        </w:rPr>
        <w:t>Las analogías estructurales con el petrismo son múltiples. Primero, ambos líderes llegaron al poder con propuestas de reforma constitucional como instrumento central de transformación institucional. Petro ha planteado en múltiples ocasiones la necesidad de una nueva Constitución para Colombia, aunque los mecanismos constitucionales vigentes imponen barreras significativas a esta pretensión. Segundo, ambos construyeron su legitimidad sobre la narrativa de la primera vez: Chávez como el primer presidente del pueblo en Venezuela, Petro como el primer presidente de izquierda en Colombia. Tercero, ambos articularon una política económica de expansión del gasto público financiada inicialmente por los ingresos de los recursos naturales —petróleo en Venezuela, hidrocarburos y minería en Colombia— sin una estrategia de diversificación productiva coherente (Corrales y Penfold, 2011).</w:t>
      </w:r>
    </w:p>
    <w:p xmlns:wp14="http://schemas.microsoft.com/office/word/2010/wordml" w14:paraId="3FE9F23F" wp14:textId="77777777">
      <w:pPr>
        <w:spacing w:before="0" w:after="0" w:line="480" w:lineRule="auto"/>
      </w:pPr>
    </w:p>
    <w:p xmlns:wp14="http://schemas.microsoft.com/office/word/2010/wordml" w14:paraId="72F7F53A" wp14:textId="77777777">
      <w:pPr>
        <w:spacing w:before="0" w:after="0" w:line="480" w:lineRule="auto"/>
        <w:ind w:firstLine="720"/>
        <w:jc w:val="both"/>
      </w:pPr>
      <w:r w:rsidRPr="4A2C92AA" w:rsidR="4A2C92AA">
        <w:rPr>
          <w:rFonts w:ascii="Times New Roman" w:hAnsi="Times New Roman" w:eastAsia="Times New Roman" w:cs="Times New Roman"/>
          <w:b w:val="0"/>
          <w:bCs w:val="0"/>
          <w:i w:val="0"/>
          <w:iCs w:val="0"/>
          <w:sz w:val="24"/>
          <w:szCs w:val="24"/>
        </w:rPr>
        <w:t>Las diferencias también son relevantes. Colombia tiene instituciones más robustas que la Venezuela de 1999: una Corte Constitucional más independiente, un sistema de medios de comunicación más diversificado, una sociedad civil más organizada y unas fuerzas armadas con una tradición constitucionalista más consolidada. Estas diferencias explican por qué el petrismo no ha podido avanzar en la concentración del poder con la velocidad que lo hizo el chavismo, pero no garantizan que las presiones en esa dirección sean menos reales (Levitsky y Ziblatt, 2018).</w:t>
      </w:r>
    </w:p>
    <w:p xmlns:wp14="http://schemas.microsoft.com/office/word/2010/wordml" w14:paraId="1F72F646" wp14:textId="77777777">
      <w:pPr>
        <w:spacing w:before="0" w:after="0" w:line="480" w:lineRule="auto"/>
      </w:pPr>
    </w:p>
    <w:p xmlns:wp14="http://schemas.microsoft.com/office/word/2010/wordml" w14:paraId="682E3EE6" wp14:textId="77777777">
      <w:pPr>
        <w:spacing w:before="0" w:after="0" w:line="480" w:lineRule="auto"/>
        <w:ind w:firstLine="720"/>
        <w:jc w:val="both"/>
      </w:pPr>
      <w:r w:rsidRPr="4A2C92AA" w:rsidR="4A2C92AA">
        <w:rPr>
          <w:rFonts w:ascii="Times New Roman" w:hAnsi="Times New Roman" w:eastAsia="Times New Roman" w:cs="Times New Roman"/>
          <w:b w:val="0"/>
          <w:bCs w:val="0"/>
          <w:i w:val="0"/>
          <w:iCs w:val="0"/>
          <w:sz w:val="24"/>
          <w:szCs w:val="24"/>
        </w:rPr>
        <w:t>El deterioro económico de Venezuela bajo el chavismo-madurismo es el caso más documentado de los límites del modelo. El PIB venezolano cayó aproximadamente un 75% en términos reales entre 2013 y 2021, generando la mayor crisis humanitaria del hemisferio occidental en términos de desplazamiento: más de siete millones de venezolanos emigraron, constituyendo la segunda crisis migratoria más grande del mundo después de la siria (ACNUR, 2023; Banco Mundial, 2022). Colombia alberga a más de 2.4 millones de venezolanos, la mayor diáspora venezolana en un solo país, un hecho que proporciona una lección histórica inmediata sobre las consecuencias del modelo que el petrismo se propone emular.</w:t>
      </w:r>
    </w:p>
    <w:p xmlns:wp14="http://schemas.microsoft.com/office/word/2010/wordml" w14:paraId="08CE6F91" wp14:textId="77777777">
      <w:pPr>
        <w:spacing w:before="0" w:after="0" w:line="480" w:lineRule="auto"/>
      </w:pPr>
    </w:p>
    <w:p xmlns:wp14="http://schemas.microsoft.com/office/word/2010/wordml" w14:paraId="72A509C9" wp14:textId="77777777">
      <w:pPr>
        <w:spacing w:before="0" w:after="0" w:line="480" w:lineRule="auto"/>
        <w:jc w:val="left"/>
      </w:pPr>
      <w:r w:rsidRPr="4A2C92AA" w:rsidR="4A2C92AA">
        <w:rPr>
          <w:rFonts w:ascii="Times New Roman" w:hAnsi="Times New Roman" w:eastAsia="Times New Roman" w:cs="Times New Roman"/>
          <w:b w:val="1"/>
          <w:bCs w:val="1"/>
          <w:sz w:val="24"/>
          <w:szCs w:val="24"/>
        </w:rPr>
        <w:t>IV. Comparación con Bolivia: El Modelo Evista</w:t>
      </w:r>
    </w:p>
    <w:p xmlns:wp14="http://schemas.microsoft.com/office/word/2010/wordml" w14:paraId="61CDCEAD" wp14:textId="77777777">
      <w:pPr>
        <w:spacing w:before="0" w:after="0" w:line="480" w:lineRule="auto"/>
      </w:pPr>
    </w:p>
    <w:p xmlns:wp14="http://schemas.microsoft.com/office/word/2010/wordml" w14:paraId="4FF14730" wp14:textId="77777777">
      <w:pPr>
        <w:spacing w:before="0" w:after="0" w:line="480" w:lineRule="auto"/>
        <w:ind w:firstLine="720"/>
        <w:jc w:val="both"/>
      </w:pPr>
      <w:r w:rsidRPr="4A2C92AA" w:rsidR="4A2C92AA">
        <w:rPr>
          <w:rFonts w:ascii="Times New Roman" w:hAnsi="Times New Roman" w:eastAsia="Times New Roman" w:cs="Times New Roman"/>
          <w:b w:val="0"/>
          <w:bCs w:val="0"/>
          <w:i w:val="0"/>
          <w:iCs w:val="0"/>
          <w:sz w:val="24"/>
          <w:szCs w:val="24"/>
        </w:rPr>
        <w:t>El gobierno de Evo Morales (2006-2019) constituye el caso más cercano al petrismo en términos de su base social y su estrategia de construcción de poder. Morales llegó al poder representando a los movimientos indígenas y campesinos, articulando una identidad política que combinaba el socialismo del siglo XXI con el indigenismo y la descolonización cultural. Esta combinación tiene un paralelo evidente en el petrismo: la alianza entre los sectores populares urbanos, los movimientos indígenas y afrocolombianos, y los sectores medios progresistas.</w:t>
      </w:r>
    </w:p>
    <w:p xmlns:wp14="http://schemas.microsoft.com/office/word/2010/wordml" w14:paraId="6BB9E253" wp14:textId="77777777">
      <w:pPr>
        <w:spacing w:before="0" w:after="0" w:line="480" w:lineRule="auto"/>
      </w:pPr>
    </w:p>
    <w:p xmlns:wp14="http://schemas.microsoft.com/office/word/2010/wordml" w14:paraId="5163171F" wp14:textId="77777777">
      <w:pPr>
        <w:spacing w:before="0" w:after="0" w:line="480" w:lineRule="auto"/>
        <w:ind w:firstLine="720"/>
        <w:jc w:val="both"/>
      </w:pPr>
      <w:r w:rsidRPr="4A2C92AA" w:rsidR="4A2C92AA">
        <w:rPr>
          <w:rFonts w:ascii="Times New Roman" w:hAnsi="Times New Roman" w:eastAsia="Times New Roman" w:cs="Times New Roman"/>
          <w:b w:val="0"/>
          <w:bCs w:val="0"/>
          <w:i w:val="0"/>
          <w:iCs w:val="0"/>
          <w:sz w:val="24"/>
          <w:szCs w:val="24"/>
        </w:rPr>
        <w:t>El evismo tuvo resultados económicos que sus defensores señalan como positivos: entre 2006 y 2014, Bolivia experimentó tasas de crecimiento del PIB superiores al 5% anual, impulsadas fundamentalmente por la nacionalización de los hidrocarburos y los altos precios internacionales de las materias primas. La pobreza moderada cayó del 60.6% en 2005 al 35% en 2018 (CEPAL, 2020). Sin embargo, estos logros estuvieron acompañados de procesos de concentración institucional, debilitamiento de la independencia judicial y extensión del período presidencial mediante una reelección inconstitucional validada por el Tribunal Constitucional, que culminaron en la crisis de 2019 y la dimisión de Morales ante las presiones militares tras las denuncias de fraude electoral.</w:t>
      </w:r>
    </w:p>
    <w:p xmlns:wp14="http://schemas.microsoft.com/office/word/2010/wordml" w14:paraId="23DE523C" wp14:textId="77777777">
      <w:pPr>
        <w:spacing w:before="0" w:after="0" w:line="480" w:lineRule="auto"/>
      </w:pPr>
    </w:p>
    <w:p xmlns:wp14="http://schemas.microsoft.com/office/word/2010/wordml" w14:paraId="17F81692" wp14:textId="77777777">
      <w:pPr>
        <w:spacing w:before="0" w:after="0" w:line="480" w:lineRule="auto"/>
        <w:ind w:firstLine="720"/>
        <w:jc w:val="both"/>
      </w:pPr>
      <w:r w:rsidRPr="4A2C92AA" w:rsidR="4A2C92AA">
        <w:rPr>
          <w:rFonts w:ascii="Times New Roman" w:hAnsi="Times New Roman" w:eastAsia="Times New Roman" w:cs="Times New Roman"/>
          <w:b w:val="0"/>
          <w:bCs w:val="0"/>
          <w:i w:val="0"/>
          <w:iCs w:val="0"/>
          <w:sz w:val="24"/>
          <w:szCs w:val="24"/>
        </w:rPr>
        <w:t>La lección boliviana para el análisis del petrismo es doble. Primero, que el boom de los recursos naturales puede financiar durante un período relativamente largo una política económica redistributiva que produzca mejoras reales en los indicadores sociales, generando bases de legitimidad populares genuinas. Segundo, que esta estrategia tiene una dependencia estructural de los precios internacionales de las materias primas que la hace inherentemente vulnerable, y que la concentración institucional que la acompaña produce, a mediano plazo, una erosión de los controles democráticos que puede derivar en crisis institucionales profundas (Weyland, 2013).</w:t>
      </w:r>
    </w:p>
    <w:p xmlns:wp14="http://schemas.microsoft.com/office/word/2010/wordml" w14:paraId="52E56223" wp14:textId="77777777">
      <w:pPr>
        <w:spacing w:before="0" w:after="0" w:line="480" w:lineRule="auto"/>
      </w:pPr>
    </w:p>
    <w:p xmlns:wp14="http://schemas.microsoft.com/office/word/2010/wordml" w14:paraId="0414EB0A" wp14:textId="77777777">
      <w:pPr>
        <w:spacing w:before="0" w:after="0" w:line="480" w:lineRule="auto"/>
        <w:ind w:firstLine="720"/>
        <w:jc w:val="both"/>
      </w:pPr>
      <w:r w:rsidRPr="4A2C92AA" w:rsidR="4A2C92AA">
        <w:rPr>
          <w:rFonts w:ascii="Times New Roman" w:hAnsi="Times New Roman" w:eastAsia="Times New Roman" w:cs="Times New Roman"/>
          <w:b w:val="0"/>
          <w:bCs w:val="0"/>
          <w:i w:val="0"/>
          <w:iCs w:val="0"/>
          <w:sz w:val="24"/>
          <w:szCs w:val="24"/>
        </w:rPr>
        <w:t>El petrismo colombiano enfrenta una variante de esta tensión particularmente aguda, porque su programa de transición energética propone reducir la dependencia de los hidrocarburos —la principal fuente de financiación de su gasto social— sin haber identificado una fuente alternativa de ingresos fiscales que la reemplace en el corto plazo. Bolivia al menos explotó sus recursos naturales al máximo durante el período de bonanza; el petrismo propone reducir la producción de los suyos en un momento en que el presupuesto nacional depende críticamente de ellos (Fedesarrollo, 2023).</w:t>
      </w:r>
    </w:p>
    <w:p xmlns:wp14="http://schemas.microsoft.com/office/word/2010/wordml" w14:paraId="07547A01" wp14:textId="77777777">
      <w:pPr>
        <w:spacing w:before="0" w:after="0" w:line="480" w:lineRule="auto"/>
      </w:pPr>
    </w:p>
    <w:p xmlns:wp14="http://schemas.microsoft.com/office/word/2010/wordml" w14:paraId="518BA6FB" wp14:textId="77777777">
      <w:pPr>
        <w:spacing w:before="0" w:after="0" w:line="480" w:lineRule="auto"/>
        <w:jc w:val="left"/>
      </w:pPr>
      <w:r w:rsidRPr="4A2C92AA" w:rsidR="4A2C92AA">
        <w:rPr>
          <w:rFonts w:ascii="Times New Roman" w:hAnsi="Times New Roman" w:eastAsia="Times New Roman" w:cs="Times New Roman"/>
          <w:b w:val="1"/>
          <w:bCs w:val="1"/>
          <w:sz w:val="24"/>
          <w:szCs w:val="24"/>
        </w:rPr>
        <w:t>V. Comparación con Ecuador: El Correísmo y sus Límites</w:t>
      </w:r>
    </w:p>
    <w:p xmlns:wp14="http://schemas.microsoft.com/office/word/2010/wordml" w14:paraId="5043CB0F" wp14:textId="77777777">
      <w:pPr>
        <w:spacing w:before="0" w:after="0" w:line="480" w:lineRule="auto"/>
      </w:pPr>
    </w:p>
    <w:p xmlns:wp14="http://schemas.microsoft.com/office/word/2010/wordml" w14:paraId="3FB2089D" wp14:textId="77777777">
      <w:pPr>
        <w:spacing w:before="0" w:after="0" w:line="480" w:lineRule="auto"/>
        <w:ind w:firstLine="720"/>
        <w:jc w:val="both"/>
      </w:pPr>
      <w:r w:rsidRPr="4A2C92AA" w:rsidR="4A2C92AA">
        <w:rPr>
          <w:rFonts w:ascii="Times New Roman" w:hAnsi="Times New Roman" w:eastAsia="Times New Roman" w:cs="Times New Roman"/>
          <w:b w:val="0"/>
          <w:bCs w:val="0"/>
          <w:i w:val="0"/>
          <w:iCs w:val="0"/>
          <w:sz w:val="24"/>
          <w:szCs w:val="24"/>
        </w:rPr>
        <w:t>Rafael Correa gobernó Ecuador entre 2007 y 2017, constituyendo junto con el chavismo y el evismo el núcleo del llamado 'socialismo del siglo XXI'. Su caso es analíticamente relevante para el estudio del petrismo por tres razones específicas: la sofisticación retórica de su proyecto, su gestión de los medios de comunicación y las formas que adoptó el debilitamiento institucional bajo su gobierno.</w:t>
      </w:r>
    </w:p>
    <w:p xmlns:wp14="http://schemas.microsoft.com/office/word/2010/wordml" w14:paraId="07459315" wp14:textId="77777777">
      <w:pPr>
        <w:spacing w:before="0" w:after="0" w:line="480" w:lineRule="auto"/>
      </w:pPr>
    </w:p>
    <w:p xmlns:wp14="http://schemas.microsoft.com/office/word/2010/wordml" w14:paraId="653D3210" wp14:textId="77777777">
      <w:pPr>
        <w:spacing w:before="0" w:after="0" w:line="480" w:lineRule="auto"/>
        <w:ind w:firstLine="720"/>
        <w:jc w:val="both"/>
      </w:pPr>
      <w:r w:rsidRPr="4A2C92AA" w:rsidR="4A2C92AA">
        <w:rPr>
          <w:rFonts w:ascii="Times New Roman" w:hAnsi="Times New Roman" w:eastAsia="Times New Roman" w:cs="Times New Roman"/>
          <w:b w:val="0"/>
          <w:bCs w:val="0"/>
          <w:i w:val="0"/>
          <w:iCs w:val="0"/>
          <w:sz w:val="24"/>
          <w:szCs w:val="24"/>
        </w:rPr>
        <w:t>Correa fue quizás el más intelectualmente formado de los líderes populistas latinoamericanos de su generación: doctor en economía por la Universidad de Illinois, utilizó su formación académica para articular un discurso sobre la 'revolución ciudadana' que combinaba la crítica técnica al neoliberalismo con la retórica populista antiestablishment. Esta combinación de densidad argumentativa y retórica emocional tiene un paralelo evidente en el estilo de Petro, que construye su autoridad política sobre una combinación de argumentos técnicos en temas económicos y energéticos con un discurso emocional de denuncia y confrontación.</w:t>
      </w:r>
    </w:p>
    <w:p xmlns:wp14="http://schemas.microsoft.com/office/word/2010/wordml" w14:paraId="6537F28F" wp14:textId="77777777">
      <w:pPr>
        <w:spacing w:before="0" w:after="0" w:line="480" w:lineRule="auto"/>
      </w:pPr>
    </w:p>
    <w:p xmlns:wp14="http://schemas.microsoft.com/office/word/2010/wordml" w14:paraId="65F6BC9E" wp14:textId="77777777">
      <w:pPr>
        <w:spacing w:before="0" w:after="0" w:line="480" w:lineRule="auto"/>
        <w:ind w:firstLine="720"/>
        <w:jc w:val="both"/>
      </w:pPr>
      <w:r w:rsidRPr="4A2C92AA" w:rsidR="4A2C92AA">
        <w:rPr>
          <w:rFonts w:ascii="Times New Roman" w:hAnsi="Times New Roman" w:eastAsia="Times New Roman" w:cs="Times New Roman"/>
          <w:b w:val="0"/>
          <w:bCs w:val="0"/>
          <w:i w:val="0"/>
          <w:iCs w:val="0"/>
          <w:sz w:val="24"/>
          <w:szCs w:val="24"/>
        </w:rPr>
        <w:t>El correísmo tuvo un impacto profundamente negativo sobre la libertad de prensa en Ecuador. Durante su gobierno se promulgaron leyes de comunicación que establecían mecanismos de control estatal sobre los medios, se iniciaron procesos judiciales contra periodistas y medios críticos y se promovió la compra de medios privados por parte de grupos afines al gobierno (Reporteros sin Fronteras, 2016). El petrismo en Colombia ha exhibido patrones similares: las declaraciones de Petro contra medios de comunicación específicos, los procesos de presión sobre periodistas y la narrativa de los 'medios del establecimiento' como enemigos del pueblo siguen la misma lógica que Correa desplegó en Ecuador (Fundación para la Libertad de Prensa, 2023).</w:t>
      </w:r>
    </w:p>
    <w:p xmlns:wp14="http://schemas.microsoft.com/office/word/2010/wordml" w14:paraId="6DFB9E20" wp14:textId="77777777">
      <w:pPr>
        <w:spacing w:before="0" w:after="0" w:line="480" w:lineRule="auto"/>
      </w:pPr>
    </w:p>
    <w:p xmlns:wp14="http://schemas.microsoft.com/office/word/2010/wordml" w14:paraId="7E24A082" wp14:textId="77777777">
      <w:pPr>
        <w:spacing w:before="0" w:after="0" w:line="480" w:lineRule="auto"/>
        <w:ind w:firstLine="720"/>
        <w:jc w:val="both"/>
      </w:pPr>
      <w:r w:rsidRPr="4A2C92AA" w:rsidR="4A2C92AA">
        <w:rPr>
          <w:rFonts w:ascii="Times New Roman" w:hAnsi="Times New Roman" w:eastAsia="Times New Roman" w:cs="Times New Roman"/>
          <w:b w:val="0"/>
          <w:bCs w:val="0"/>
          <w:i w:val="0"/>
          <w:iCs w:val="0"/>
          <w:sz w:val="24"/>
          <w:szCs w:val="24"/>
        </w:rPr>
        <w:t>La herencia del correísmo fue también económicamente negativa a mediano plazo. Ecuador, que no tiene moneda propia —utiliza el dólar desde 2000— no pudo recurrir a la emisión monetaria para financiar el gasto público, lo que hizo más visible el deterioro fiscal producido por las políticas expansivas de Correa. Cuando cayeron los precios del petróleo, el Estado ecuatoriano entró en una crisis de deuda que sus sucesores heredaron. La presidencia de Lenín Moreno significó un giro de austeridad que el propio movimiento correísta calificó de traición, iniciando un ciclo de fragmentación política que ilustra la fragilidad institucional de los movimientos populistas una vez agotado el momento fundacional (Basabe-Serrano y Martínez, 2014).</w:t>
      </w:r>
    </w:p>
    <w:p xmlns:wp14="http://schemas.microsoft.com/office/word/2010/wordml" w14:paraId="70DF9E56" wp14:textId="77777777">
      <w:pPr>
        <w:spacing w:before="0" w:after="0" w:line="480" w:lineRule="auto"/>
      </w:pPr>
    </w:p>
    <w:p xmlns:wp14="http://schemas.microsoft.com/office/word/2010/wordml" w14:paraId="5CB482E7" wp14:textId="77777777">
      <w:pPr>
        <w:spacing w:before="0" w:after="0" w:line="480" w:lineRule="auto"/>
        <w:jc w:val="left"/>
      </w:pPr>
      <w:r w:rsidRPr="4A2C92AA" w:rsidR="4A2C92AA">
        <w:rPr>
          <w:rFonts w:ascii="Times New Roman" w:hAnsi="Times New Roman" w:eastAsia="Times New Roman" w:cs="Times New Roman"/>
          <w:b w:val="1"/>
          <w:bCs w:val="1"/>
          <w:sz w:val="24"/>
          <w:szCs w:val="24"/>
        </w:rPr>
        <w:t>VI. Comparación con Argentina: El Kirchnerismo como Advertencia Fiscal</w:t>
      </w:r>
    </w:p>
    <w:p xmlns:wp14="http://schemas.microsoft.com/office/word/2010/wordml" w14:paraId="44E871BC" wp14:textId="77777777">
      <w:pPr>
        <w:spacing w:before="0" w:after="0" w:line="480" w:lineRule="auto"/>
      </w:pPr>
    </w:p>
    <w:p xmlns:wp14="http://schemas.microsoft.com/office/word/2010/wordml" w14:paraId="569DF964" wp14:textId="77777777">
      <w:pPr>
        <w:spacing w:before="0" w:after="0" w:line="480" w:lineRule="auto"/>
        <w:ind w:firstLine="720"/>
        <w:jc w:val="both"/>
      </w:pPr>
      <w:r w:rsidRPr="4A2C92AA" w:rsidR="4A2C92AA">
        <w:rPr>
          <w:rFonts w:ascii="Times New Roman" w:hAnsi="Times New Roman" w:eastAsia="Times New Roman" w:cs="Times New Roman"/>
          <w:b w:val="0"/>
          <w:bCs w:val="0"/>
          <w:i w:val="0"/>
          <w:iCs w:val="0"/>
          <w:sz w:val="24"/>
          <w:szCs w:val="24"/>
        </w:rPr>
        <w:t>El kirchnerismo —la corriente política fundada por Néstor Kirchner y continuada por Cristina Fernández de Kirchner— es el caso latinoamericano más relevante para analizar las consecuencias fiscales y macroeconómicas del populismo de izquierda en una economía de tamaño mediano con instituciones formalmente democráticas. Argentina no es Venezuela ni Bolivia: tiene una clase media amplia, una tradición de derechos laborales consolidada, universidades públicas de calidad y una sociedad civil organizada. Y sin embargo, el kirchnerismo produjo consecuencias macroeconómicas devastadoras que ilustran con precisión las consecuencias del modelo.</w:t>
      </w:r>
    </w:p>
    <w:p xmlns:wp14="http://schemas.microsoft.com/office/word/2010/wordml" w14:paraId="144A5D23" wp14:textId="77777777">
      <w:pPr>
        <w:spacing w:before="0" w:after="0" w:line="480" w:lineRule="auto"/>
      </w:pPr>
    </w:p>
    <w:p xmlns:wp14="http://schemas.microsoft.com/office/word/2010/wordml" w14:paraId="1C762BE0" wp14:textId="77777777">
      <w:pPr>
        <w:spacing w:before="0" w:after="0" w:line="480" w:lineRule="auto"/>
        <w:ind w:firstLine="720"/>
        <w:jc w:val="both"/>
      </w:pPr>
      <w:r w:rsidRPr="4A2C92AA" w:rsidR="4A2C92AA">
        <w:rPr>
          <w:rFonts w:ascii="Times New Roman" w:hAnsi="Times New Roman" w:eastAsia="Times New Roman" w:cs="Times New Roman"/>
          <w:b w:val="0"/>
          <w:bCs w:val="0"/>
          <w:i w:val="0"/>
          <w:iCs w:val="0"/>
          <w:sz w:val="24"/>
          <w:szCs w:val="24"/>
        </w:rPr>
        <w:t>El modelo kirchnerista combinó el control de precios, la expansión del gasto público mediante transferencias directas, la emisión monetaria para financiar el déficit, el control de cambios y la intervención en los mercados de commodities agrícolas. El resultado a mediano plazo fue una inflación crónica que destruyó el valor del salario real, múltiples defaults de la deuda soberana, una brecha cambiaria persistente que generaba incentivos perversos en toda la economía y un deterioro progresivo de la infraestructura pública por insuficiencia de inversión real (Sturzenegger y Zettelmeyer, 2006; Gerchunoff y Rapetti, 2016).</w:t>
      </w:r>
    </w:p>
    <w:p xmlns:wp14="http://schemas.microsoft.com/office/word/2010/wordml" w14:paraId="738610EB" wp14:textId="77777777">
      <w:pPr>
        <w:spacing w:before="0" w:after="0" w:line="480" w:lineRule="auto"/>
      </w:pPr>
    </w:p>
    <w:p xmlns:wp14="http://schemas.microsoft.com/office/word/2010/wordml" w14:paraId="29F7A183" wp14:textId="77777777">
      <w:pPr>
        <w:spacing w:before="0" w:after="0" w:line="480" w:lineRule="auto"/>
        <w:ind w:firstLine="720"/>
        <w:jc w:val="both"/>
      </w:pPr>
      <w:r w:rsidRPr="4A2C92AA" w:rsidR="4A2C92AA">
        <w:rPr>
          <w:rFonts w:ascii="Times New Roman" w:hAnsi="Times New Roman" w:eastAsia="Times New Roman" w:cs="Times New Roman"/>
          <w:b w:val="0"/>
          <w:bCs w:val="0"/>
          <w:i w:val="0"/>
          <w:iCs w:val="0"/>
          <w:sz w:val="24"/>
          <w:szCs w:val="24"/>
        </w:rPr>
        <w:t>Las analogías con el petrismo en términos de política económica son inquietantes. La reforma tributaria de Petro, aprobada en 2022, buscó aumentar la carga fiscal sobre el capital financiero y los dividendos, siguiendo la lógica redistributiva kirchnerista. La política de control de precios de alimentos básicos tiene precedentes directos en las intervenciones kirchneristas sobre el mercado de carne y energía. Y la narrativa de confrontación con el sector financiero y los 'especuladores' como responsables de los problemas económicos reproduce el discurso kirchnerista con notable fidelidad (Ministerio de Hacienda, 2022; El Colombiano, 2023).</w:t>
      </w:r>
    </w:p>
    <w:p xmlns:wp14="http://schemas.microsoft.com/office/word/2010/wordml" w14:paraId="637805D2" wp14:textId="77777777">
      <w:pPr>
        <w:spacing w:before="0" w:after="0" w:line="480" w:lineRule="auto"/>
      </w:pPr>
    </w:p>
    <w:p xmlns:wp14="http://schemas.microsoft.com/office/word/2010/wordml" w14:paraId="79541B54" wp14:textId="77777777">
      <w:pPr>
        <w:spacing w:before="0" w:after="0" w:line="480" w:lineRule="auto"/>
        <w:ind w:firstLine="720"/>
        <w:jc w:val="both"/>
      </w:pPr>
      <w:r w:rsidRPr="4A2C92AA" w:rsidR="4A2C92AA">
        <w:rPr>
          <w:rFonts w:ascii="Times New Roman" w:hAnsi="Times New Roman" w:eastAsia="Times New Roman" w:cs="Times New Roman"/>
          <w:b w:val="0"/>
          <w:bCs w:val="0"/>
          <w:i w:val="0"/>
          <w:iCs w:val="0"/>
          <w:sz w:val="24"/>
          <w:szCs w:val="24"/>
        </w:rPr>
        <w:t>El caso argentino también ilustra las consecuencias institucionales del populismo sobre el poder judicial. El kirchnerismo intentó sistemáticamente influir sobre la composición y las decisiones de la Corte Suprema de Justicia, promovió reformas al sistema judicial que ampliaban el control ejecutivo sobre la magistratura y utilizó la fiscalía como instrumento de persecución política de adversarios. Los cargos de corrupción que enfrentó Cristina Fernández de Kirchner, con condena en primera instancia en 2022, son el resultado paradójico de un proceso en el que la politización del sistema judicial durante el kirchnerismo terminó siendo utilizada contra sus propios impulsores (Infobae, 2022).</w:t>
      </w:r>
    </w:p>
    <w:p xmlns:wp14="http://schemas.microsoft.com/office/word/2010/wordml" w14:paraId="463F29E8" wp14:textId="77777777">
      <w:r>
        <w:br w:type="page"/>
      </w:r>
    </w:p>
    <w:p xmlns:wp14="http://schemas.microsoft.com/office/word/2010/wordml" w14:paraId="2BCC7695" wp14:textId="77777777">
      <w:pPr>
        <w:spacing w:before="0" w:after="0" w:line="480" w:lineRule="auto"/>
        <w:jc w:val="center"/>
      </w:pPr>
      <w:r w:rsidRPr="4A2C92AA" w:rsidR="4A2C92AA">
        <w:rPr>
          <w:rFonts w:ascii="Times New Roman" w:hAnsi="Times New Roman" w:eastAsia="Times New Roman" w:cs="Times New Roman"/>
          <w:b w:val="1"/>
          <w:bCs w:val="1"/>
          <w:sz w:val="24"/>
          <w:szCs w:val="24"/>
        </w:rPr>
        <w:t>VII. Sección de Datos: Evidencia Empírica del Patrón Populista</w:t>
      </w:r>
    </w:p>
    <w:p xmlns:wp14="http://schemas.microsoft.com/office/word/2010/wordml" w14:paraId="3B7B4B86" wp14:textId="77777777">
      <w:pPr>
        <w:spacing w:before="0" w:after="0" w:line="480" w:lineRule="auto"/>
      </w:pPr>
    </w:p>
    <w:p xmlns:wp14="http://schemas.microsoft.com/office/word/2010/wordml" w14:paraId="6A58B45E" wp14:textId="77777777">
      <w:pPr>
        <w:spacing w:before="0" w:after="0" w:line="480" w:lineRule="auto"/>
        <w:ind w:firstLine="720"/>
        <w:jc w:val="both"/>
      </w:pPr>
      <w:r w:rsidRPr="4A2C92AA" w:rsidR="4A2C92AA">
        <w:rPr>
          <w:rFonts w:ascii="Times New Roman" w:hAnsi="Times New Roman" w:eastAsia="Times New Roman" w:cs="Times New Roman"/>
          <w:b w:val="0"/>
          <w:bCs w:val="0"/>
          <w:i w:val="0"/>
          <w:iCs w:val="0"/>
          <w:sz w:val="24"/>
          <w:szCs w:val="24"/>
        </w:rPr>
        <w:t>Esta sección presenta la evidencia cuantitativa e institucional que respalda el argumento comparativo. Los datos se organizan por dimensión analítica.</w:t>
      </w:r>
    </w:p>
    <w:p xmlns:wp14="http://schemas.microsoft.com/office/word/2010/wordml" w14:paraId="3A0FF5F2" wp14:textId="77777777">
      <w:pPr>
        <w:spacing w:before="0" w:after="0" w:line="480" w:lineRule="auto"/>
      </w:pPr>
    </w:p>
    <w:p xmlns:wp14="http://schemas.microsoft.com/office/word/2010/wordml" w14:paraId="201AEA2B" wp14:textId="77777777">
      <w:pPr>
        <w:spacing w:before="0" w:after="0" w:line="480" w:lineRule="auto"/>
        <w:ind w:firstLine="720"/>
        <w:jc w:val="left"/>
      </w:pPr>
      <w:r w:rsidRPr="4A2C92AA" w:rsidR="4A2C92AA">
        <w:rPr>
          <w:rFonts w:ascii="Times New Roman" w:hAnsi="Times New Roman" w:eastAsia="Times New Roman" w:cs="Times New Roman"/>
          <w:b w:val="1"/>
          <w:bCs w:val="1"/>
          <w:i w:val="1"/>
          <w:iCs w:val="1"/>
          <w:sz w:val="24"/>
          <w:szCs w:val="24"/>
        </w:rPr>
        <w:t>7.1 Resultados electorales del petrismo</w:t>
      </w:r>
    </w:p>
    <w:p xmlns:wp14="http://schemas.microsoft.com/office/word/2010/wordml" w14:paraId="5630AD66" wp14:textId="77777777">
      <w:pPr>
        <w:spacing w:before="0" w:after="0" w:line="480" w:lineRule="auto"/>
      </w:pPr>
    </w:p>
    <w:p xmlns:wp14="http://schemas.microsoft.com/office/word/2010/wordml" w14:paraId="0E50839F" wp14:textId="77777777">
      <w:pPr>
        <w:spacing w:before="0" w:after="0" w:line="480" w:lineRule="auto"/>
        <w:ind w:firstLine="720"/>
        <w:jc w:val="both"/>
      </w:pPr>
      <w:r w:rsidRPr="4A2C92AA" w:rsidR="4A2C92AA">
        <w:rPr>
          <w:rFonts w:ascii="Times New Roman" w:hAnsi="Times New Roman" w:eastAsia="Times New Roman" w:cs="Times New Roman"/>
          <w:b w:val="0"/>
          <w:bCs w:val="0"/>
          <w:i w:val="0"/>
          <w:iCs w:val="0"/>
          <w:sz w:val="24"/>
          <w:szCs w:val="24"/>
        </w:rPr>
        <w:t>En la primera vuelta de las elecciones presidenciales de mayo de 2022, Gustavo Petro obtuvo 8.527.768 votos (40.32%), resultado que lo convirtió en el candidato más votado en primera vuelta en la historia electoral colombiana. En la segunda vuelta de junio de 2022, obtuvo 11.281.013 votos (50.44%) frente a los 10.580.412 (47.31%) de Rodolfo Hernández. La participación electoral fue del 58.1%, la más alta en la historia colombiana para elecciones presidenciales (Registraduría Nacional del Estado Civil, 2022).</w:t>
      </w:r>
    </w:p>
    <w:p xmlns:wp14="http://schemas.microsoft.com/office/word/2010/wordml" w14:paraId="61829076" wp14:textId="77777777">
      <w:pPr>
        <w:spacing w:before="0" w:after="0" w:line="480" w:lineRule="auto"/>
      </w:pPr>
    </w:p>
    <w:p xmlns:wp14="http://schemas.microsoft.com/office/word/2010/wordml" w14:paraId="1A684537" wp14:textId="77777777">
      <w:pPr>
        <w:spacing w:before="0" w:after="0" w:line="480" w:lineRule="auto"/>
        <w:ind w:firstLine="720"/>
        <w:jc w:val="both"/>
      </w:pPr>
      <w:r w:rsidRPr="4A2C92AA" w:rsidR="4A2C92AA">
        <w:rPr>
          <w:rFonts w:ascii="Times New Roman" w:hAnsi="Times New Roman" w:eastAsia="Times New Roman" w:cs="Times New Roman"/>
          <w:b w:val="0"/>
          <w:bCs w:val="0"/>
          <w:i w:val="0"/>
          <w:iCs w:val="0"/>
          <w:sz w:val="24"/>
          <w:szCs w:val="24"/>
        </w:rPr>
        <w:t>La geografía del voto petrista revela su base social. Los mayores porcentajes se concentraron en los departamentos de la Costa Atlántica (Chocó: 79.4%, Nariño: 72.3%, La Guajira: 70.1%), en Bogotá (58.4%) y en los departamentos de mayor índice de pobreza. Este patrón es consistente con el de otros populismos latinoamericanos: base sólida en los territorios más pobres y en los grandes centros urbanos con alta población informal (Registraduría Nacional del Estado Civil, 2022; DANE, 2022).</w:t>
      </w:r>
    </w:p>
    <w:p xmlns:wp14="http://schemas.microsoft.com/office/word/2010/wordml" w14:paraId="2BA226A1" wp14:textId="77777777">
      <w:pPr>
        <w:spacing w:before="0" w:after="0" w:line="480" w:lineRule="auto"/>
      </w:pPr>
    </w:p>
    <w:p xmlns:wp14="http://schemas.microsoft.com/office/word/2010/wordml" w14:paraId="4EBCBFDF" wp14:textId="77777777">
      <w:pPr>
        <w:spacing w:before="0" w:after="0" w:line="480" w:lineRule="auto"/>
        <w:ind w:firstLine="720"/>
        <w:jc w:val="left"/>
      </w:pPr>
      <w:r w:rsidRPr="4A2C92AA" w:rsidR="4A2C92AA">
        <w:rPr>
          <w:rFonts w:ascii="Times New Roman" w:hAnsi="Times New Roman" w:eastAsia="Times New Roman" w:cs="Times New Roman"/>
          <w:b w:val="1"/>
          <w:bCs w:val="1"/>
          <w:i w:val="1"/>
          <w:iCs w:val="1"/>
          <w:sz w:val="24"/>
          <w:szCs w:val="24"/>
        </w:rPr>
        <w:t>7.2 Indicadores económicos bajo el gobierno Petro (2022-2025)</w:t>
      </w:r>
    </w:p>
    <w:p xmlns:wp14="http://schemas.microsoft.com/office/word/2010/wordml" w14:paraId="17AD93B2" wp14:textId="77777777">
      <w:pPr>
        <w:spacing w:before="0" w:after="0" w:line="480" w:lineRule="auto"/>
      </w:pPr>
    </w:p>
    <w:p xmlns:wp14="http://schemas.microsoft.com/office/word/2010/wordml" w14:paraId="088966DA" wp14:textId="77777777">
      <w:pPr>
        <w:spacing w:before="0" w:after="0" w:line="480" w:lineRule="auto"/>
        <w:ind w:firstLine="720"/>
        <w:jc w:val="both"/>
      </w:pPr>
      <w:r w:rsidRPr="4A2C92AA" w:rsidR="4A2C92AA">
        <w:rPr>
          <w:rFonts w:ascii="Times New Roman" w:hAnsi="Times New Roman" w:eastAsia="Times New Roman" w:cs="Times New Roman"/>
          <w:b w:val="0"/>
          <w:bCs w:val="0"/>
          <w:i w:val="0"/>
          <w:iCs w:val="0"/>
          <w:sz w:val="24"/>
          <w:szCs w:val="24"/>
        </w:rPr>
        <w:t>La inflación en Colombia alcanzó el 13.12% en 2022, la más alta en 24 años, y aunque descendió a 9.28% en 2023 y a 5.2% en 2024, se mantuvo sistemáticamente por encima de la meta del 3% del Banco de la República, erosionando el poder adquisitivo de los sectores populares que el gobierno afirmaba proteger (DANE, 2024; Banco de la República, 2024).</w:t>
      </w:r>
    </w:p>
    <w:p xmlns:wp14="http://schemas.microsoft.com/office/word/2010/wordml" w14:paraId="0DE4B5B7" wp14:textId="77777777">
      <w:pPr>
        <w:spacing w:before="0" w:after="0" w:line="480" w:lineRule="auto"/>
      </w:pPr>
    </w:p>
    <w:p xmlns:wp14="http://schemas.microsoft.com/office/word/2010/wordml" w14:paraId="3E2E5403" wp14:textId="77777777">
      <w:pPr>
        <w:spacing w:before="0" w:after="0" w:line="480" w:lineRule="auto"/>
        <w:ind w:firstLine="720"/>
        <w:jc w:val="both"/>
      </w:pPr>
      <w:r w:rsidRPr="4A2C92AA" w:rsidR="4A2C92AA">
        <w:rPr>
          <w:rFonts w:ascii="Times New Roman" w:hAnsi="Times New Roman" w:eastAsia="Times New Roman" w:cs="Times New Roman"/>
          <w:b w:val="0"/>
          <w:bCs w:val="0"/>
          <w:i w:val="0"/>
          <w:iCs w:val="0"/>
          <w:sz w:val="24"/>
          <w:szCs w:val="24"/>
        </w:rPr>
        <w:t>La producción de petróleo en Colombia cayó de 753.000 barriles por día en 2022 a 736.000 en 2023 y 718.000 en 2024, resultado en parte de la política del gobierno de no otorgar nuevos contratos de exploración. Dado que el petróleo representa aproximadamente el 40% de los ingresos por exportaciones y el 18% de los ingresos fiscales, esta contracción tiene implicaciones directas sobre la capacidad del Estado para financiar el gasto social prometido (Agencia Nacional de Hidrocarburos, 2024; Ministerio de Hacienda, 2024).</w:t>
      </w:r>
    </w:p>
    <w:p xmlns:wp14="http://schemas.microsoft.com/office/word/2010/wordml" w14:paraId="66204FF1" wp14:textId="77777777">
      <w:pPr>
        <w:spacing w:before="0" w:after="0" w:line="480" w:lineRule="auto"/>
      </w:pPr>
    </w:p>
    <w:p xmlns:wp14="http://schemas.microsoft.com/office/word/2010/wordml" w14:paraId="01BE63C7" wp14:textId="77777777">
      <w:pPr>
        <w:spacing w:before="0" w:after="0" w:line="480" w:lineRule="auto"/>
        <w:ind w:firstLine="720"/>
        <w:jc w:val="both"/>
      </w:pPr>
      <w:r w:rsidRPr="4A2C92AA" w:rsidR="4A2C92AA">
        <w:rPr>
          <w:rFonts w:ascii="Times New Roman" w:hAnsi="Times New Roman" w:eastAsia="Times New Roman" w:cs="Times New Roman"/>
          <w:b w:val="0"/>
          <w:bCs w:val="0"/>
          <w:i w:val="0"/>
          <w:iCs w:val="0"/>
          <w:sz w:val="24"/>
          <w:szCs w:val="24"/>
        </w:rPr>
        <w:t>El déficit fiscal de Colombia fue del 4.2% del PIB en 2023, por encima del límite establecido por la regla fiscal del 3.8%. La deuda pública bruta ascendió al 56.3% del PIB en 2023. La calificación crediticia de Colombia fue revisada con perspectiva negativa por Fitch Ratings en 2023, lo que incrementó el costo del financiamiento externo (Ministerio de Hacienda, 2024; Fitch Ratings, 2023).</w:t>
      </w:r>
    </w:p>
    <w:p xmlns:wp14="http://schemas.microsoft.com/office/word/2010/wordml" w14:paraId="2DBF0D7D" wp14:textId="77777777">
      <w:pPr>
        <w:spacing w:before="0" w:after="0" w:line="480" w:lineRule="auto"/>
      </w:pPr>
    </w:p>
    <w:p xmlns:wp14="http://schemas.microsoft.com/office/word/2010/wordml" w14:paraId="4BA80D6D" wp14:textId="77777777">
      <w:pPr>
        <w:spacing w:before="0" w:after="0" w:line="480" w:lineRule="auto"/>
        <w:ind w:firstLine="720"/>
        <w:jc w:val="both"/>
      </w:pPr>
      <w:r w:rsidRPr="4A2C92AA" w:rsidR="4A2C92AA">
        <w:rPr>
          <w:rFonts w:ascii="Times New Roman" w:hAnsi="Times New Roman" w:eastAsia="Times New Roman" w:cs="Times New Roman"/>
          <w:b w:val="0"/>
          <w:bCs w:val="0"/>
          <w:i w:val="0"/>
          <w:iCs w:val="0"/>
          <w:sz w:val="24"/>
          <w:szCs w:val="24"/>
        </w:rPr>
        <w:t>La inversión extranjera directa en Colombia cayó un 17% en 2023 respecto a 2022, pasando de 16.784 millones de dólares a 13.909 millones, reflejando la incertidumbre generada por los cambios regulatorios y el discurso confrontacional del gobierno hacia el sector privado (Banco de la República, 2024).</w:t>
      </w:r>
    </w:p>
    <w:p xmlns:wp14="http://schemas.microsoft.com/office/word/2010/wordml" w14:paraId="6B62F1B3" wp14:textId="77777777">
      <w:pPr>
        <w:spacing w:before="0" w:after="0" w:line="480" w:lineRule="auto"/>
      </w:pPr>
    </w:p>
    <w:p xmlns:wp14="http://schemas.microsoft.com/office/word/2010/wordml" w14:paraId="456A1031" wp14:textId="77777777">
      <w:pPr>
        <w:spacing w:before="0" w:after="0" w:line="480" w:lineRule="auto"/>
        <w:ind w:firstLine="720"/>
        <w:jc w:val="left"/>
      </w:pPr>
      <w:r w:rsidRPr="4A2C92AA" w:rsidR="4A2C92AA">
        <w:rPr>
          <w:rFonts w:ascii="Times New Roman" w:hAnsi="Times New Roman" w:eastAsia="Times New Roman" w:cs="Times New Roman"/>
          <w:b w:val="1"/>
          <w:bCs w:val="1"/>
          <w:i w:val="1"/>
          <w:iCs w:val="1"/>
          <w:sz w:val="24"/>
          <w:szCs w:val="24"/>
        </w:rPr>
        <w:t>7.3 Indicadores institucionales comparados</w:t>
      </w:r>
    </w:p>
    <w:p xmlns:wp14="http://schemas.microsoft.com/office/word/2010/wordml" w14:paraId="02F2C34E" wp14:textId="77777777">
      <w:pPr>
        <w:spacing w:before="0" w:after="0" w:line="480" w:lineRule="auto"/>
      </w:pPr>
    </w:p>
    <w:p xmlns:wp14="http://schemas.microsoft.com/office/word/2010/wordml" w14:paraId="0A5ACDEE" wp14:textId="77777777">
      <w:pPr>
        <w:spacing w:before="0" w:after="0" w:line="480" w:lineRule="auto"/>
        <w:ind w:firstLine="720"/>
        <w:jc w:val="both"/>
      </w:pPr>
      <w:r w:rsidRPr="4A2C92AA" w:rsidR="4A2C92AA">
        <w:rPr>
          <w:rFonts w:ascii="Times New Roman" w:hAnsi="Times New Roman" w:eastAsia="Times New Roman" w:cs="Times New Roman"/>
          <w:b w:val="0"/>
          <w:bCs w:val="0"/>
          <w:i w:val="0"/>
          <w:iCs w:val="0"/>
          <w:sz w:val="24"/>
          <w:szCs w:val="24"/>
        </w:rPr>
        <w:t>El Índice de Estado de Derecho del World Justice Project ubicó a Colombia en la posición 87 de 140 países en 2023, con una puntuación de 0.47 sobre 1.0. Venezuela ocupa el puesto 138 (0.27), Bolivia el 110 (0.39) y Ecuador el 80 (0.49). El declive del indicador colombiano en los componentes de 'controles al gobierno' y 'justicia civil' entre 2022 y 2023 es estadísticamente significativo (World Justice Project, 2023).</w:t>
      </w:r>
    </w:p>
    <w:p xmlns:wp14="http://schemas.microsoft.com/office/word/2010/wordml" w14:paraId="680A4E5D" wp14:textId="77777777">
      <w:pPr>
        <w:spacing w:before="0" w:after="0" w:line="480" w:lineRule="auto"/>
      </w:pPr>
    </w:p>
    <w:p xmlns:wp14="http://schemas.microsoft.com/office/word/2010/wordml" w14:paraId="7F1F45FD" wp14:textId="77777777">
      <w:pPr>
        <w:spacing w:before="0" w:after="0" w:line="480" w:lineRule="auto"/>
        <w:ind w:firstLine="720"/>
        <w:jc w:val="both"/>
      </w:pPr>
      <w:r w:rsidRPr="4A2C92AA" w:rsidR="4A2C92AA">
        <w:rPr>
          <w:rFonts w:ascii="Times New Roman" w:hAnsi="Times New Roman" w:eastAsia="Times New Roman" w:cs="Times New Roman"/>
          <w:b w:val="0"/>
          <w:bCs w:val="0"/>
          <w:i w:val="0"/>
          <w:iCs w:val="0"/>
          <w:sz w:val="24"/>
          <w:szCs w:val="24"/>
        </w:rPr>
        <w:t>El Índice de Libertad de Prensa de Reporteros sin Fronteras ubicó a Colombia en el puesto 135 de 180 países en 2023, retrocediendo 15 posiciones respecto a 2021. La Fundación para la Libertad de Prensa (FLIP) registró 407 agresiones a periodistas en 2023, el 23% de las cuales fueron atribuidas a actores estatales, incluyendo declaraciones presidenciales que señalaban a medios específicos (Reporteros sin Fronteras, 2023; FLIP, 2023).</w:t>
      </w:r>
    </w:p>
    <w:p xmlns:wp14="http://schemas.microsoft.com/office/word/2010/wordml" w14:paraId="19219836" wp14:textId="77777777">
      <w:pPr>
        <w:spacing w:before="0" w:after="0" w:line="480" w:lineRule="auto"/>
      </w:pPr>
    </w:p>
    <w:p xmlns:wp14="http://schemas.microsoft.com/office/word/2010/wordml" w14:paraId="2E3234BB" wp14:textId="77777777">
      <w:pPr>
        <w:spacing w:before="0" w:after="0" w:line="480" w:lineRule="auto"/>
        <w:ind w:firstLine="720"/>
        <w:jc w:val="left"/>
      </w:pPr>
      <w:r w:rsidRPr="4A2C92AA" w:rsidR="4A2C92AA">
        <w:rPr>
          <w:rFonts w:ascii="Times New Roman" w:hAnsi="Times New Roman" w:eastAsia="Times New Roman" w:cs="Times New Roman"/>
          <w:b w:val="1"/>
          <w:bCs w:val="1"/>
          <w:i w:val="1"/>
          <w:iCs w:val="1"/>
          <w:sz w:val="24"/>
          <w:szCs w:val="24"/>
        </w:rPr>
        <w:t>7.4 Tabla comparativa de indicadores del populismo latinoamericano</w:t>
      </w:r>
    </w:p>
    <w:p xmlns:wp14="http://schemas.microsoft.com/office/word/2010/wordml" w14:paraId="296FEF7D" wp14:textId="77777777">
      <w:pPr>
        <w:spacing w:before="0" w:after="0" w:line="480" w:lineRule="auto"/>
      </w:pPr>
    </w:p>
    <w:tbl>
      <w:tblPr>
        <w:tblW w:w="9360" w:type="dxa"/>
        <w:tblBorders>
          <w:top w:val="single" w:color="auto" w:sz="4"/>
          <w:left w:val="single" w:color="auto" w:sz="4"/>
          <w:bottom w:val="single" w:color="auto" w:sz="4"/>
          <w:right w:val="single" w:color="auto" w:sz="4"/>
          <w:insideH w:val="single" w:color="auto" w:sz="4"/>
          <w:insideV w:val="single" w:color="auto" w:sz="4"/>
        </w:tblBorders>
      </w:tblPr>
      <w:tblGrid>
        <w:gridCol w:w="1872"/>
        <w:gridCol w:w="1872"/>
        <w:gridCol w:w="1872"/>
        <w:gridCol w:w="1872"/>
        <w:gridCol w:w="1872"/>
      </w:tblGrid>
      <w:tr xmlns:wp14="http://schemas.microsoft.com/office/word/2010/wordml" w:rsidTr="4A2C92AA" w14:paraId="3A70FE06" wp14:textId="77777777">
        <w:trPr>
          <w:tblHeader/>
        </w:trPr>
        <w:tc>
          <w:tcPr>
            <w:tcW w:w="1872" w:type="dxa"/>
            <w:shd w:val="clear" w:color="auto" w:fill="1A1A2E"/>
            <w:tcMar>
              <w:top w:w="80" w:type="dxa"/>
              <w:left w:w="120" w:type="dxa"/>
              <w:bottom w:w="80" w:type="dxa"/>
              <w:right w:w="120" w:type="dxa"/>
            </w:tcMar>
          </w:tcPr>
          <w:p w14:paraId="602E67DE" wp14:textId="77777777">
            <w:r w:rsidRPr="4A2C92AA" w:rsidR="4A2C92AA">
              <w:rPr>
                <w:rFonts w:ascii="Times New Roman" w:hAnsi="Times New Roman" w:eastAsia="Times New Roman" w:cs="Times New Roman"/>
                <w:b w:val="1"/>
                <w:bCs w:val="1"/>
                <w:color w:val="FFFFFF"/>
                <w:sz w:val="20"/>
                <w:szCs w:val="20"/>
              </w:rPr>
              <w:t>Indicador</w:t>
            </w:r>
          </w:p>
        </w:tc>
        <w:tc>
          <w:tcPr>
            <w:tcW w:w="1872" w:type="dxa"/>
            <w:shd w:val="clear" w:color="auto" w:fill="1A1A2E"/>
            <w:tcMar>
              <w:top w:w="80" w:type="dxa"/>
              <w:left w:w="120" w:type="dxa"/>
              <w:bottom w:w="80" w:type="dxa"/>
              <w:right w:w="120" w:type="dxa"/>
            </w:tcMar>
          </w:tcPr>
          <w:p w14:paraId="677ADDBD" wp14:textId="77777777">
            <w:r w:rsidRPr="4A2C92AA" w:rsidR="4A2C92AA">
              <w:rPr>
                <w:rFonts w:ascii="Times New Roman" w:hAnsi="Times New Roman" w:eastAsia="Times New Roman" w:cs="Times New Roman"/>
                <w:b w:val="1"/>
                <w:bCs w:val="1"/>
                <w:color w:val="FFFFFF"/>
                <w:sz w:val="20"/>
                <w:szCs w:val="20"/>
              </w:rPr>
              <w:t>Venezuela</w:t>
            </w:r>
          </w:p>
        </w:tc>
        <w:tc>
          <w:tcPr>
            <w:tcW w:w="1872" w:type="dxa"/>
            <w:shd w:val="clear" w:color="auto" w:fill="1A1A2E"/>
            <w:tcMar>
              <w:top w:w="80" w:type="dxa"/>
              <w:left w:w="120" w:type="dxa"/>
              <w:bottom w:w="80" w:type="dxa"/>
              <w:right w:w="120" w:type="dxa"/>
            </w:tcMar>
          </w:tcPr>
          <w:p w14:paraId="39964ECB" wp14:textId="77777777">
            <w:r w:rsidRPr="4A2C92AA" w:rsidR="4A2C92AA">
              <w:rPr>
                <w:rFonts w:ascii="Times New Roman" w:hAnsi="Times New Roman" w:eastAsia="Times New Roman" w:cs="Times New Roman"/>
                <w:b w:val="1"/>
                <w:bCs w:val="1"/>
                <w:color w:val="FFFFFF"/>
                <w:sz w:val="20"/>
                <w:szCs w:val="20"/>
              </w:rPr>
              <w:t>Bolivia</w:t>
            </w:r>
          </w:p>
        </w:tc>
        <w:tc>
          <w:tcPr>
            <w:tcW w:w="1872" w:type="dxa"/>
            <w:shd w:val="clear" w:color="auto" w:fill="1A1A2E"/>
            <w:tcMar>
              <w:top w:w="80" w:type="dxa"/>
              <w:left w:w="120" w:type="dxa"/>
              <w:bottom w:w="80" w:type="dxa"/>
              <w:right w:w="120" w:type="dxa"/>
            </w:tcMar>
          </w:tcPr>
          <w:p w14:paraId="57A390A3" wp14:textId="77777777">
            <w:r w:rsidRPr="4A2C92AA" w:rsidR="4A2C92AA">
              <w:rPr>
                <w:rFonts w:ascii="Times New Roman" w:hAnsi="Times New Roman" w:eastAsia="Times New Roman" w:cs="Times New Roman"/>
                <w:b w:val="1"/>
                <w:bCs w:val="1"/>
                <w:color w:val="FFFFFF"/>
                <w:sz w:val="20"/>
                <w:szCs w:val="20"/>
              </w:rPr>
              <w:t>Ecuador</w:t>
            </w:r>
          </w:p>
        </w:tc>
        <w:tc>
          <w:tcPr>
            <w:tcW w:w="1872" w:type="dxa"/>
            <w:shd w:val="clear" w:color="auto" w:fill="1A1A2E"/>
            <w:tcMar>
              <w:top w:w="80" w:type="dxa"/>
              <w:left w:w="120" w:type="dxa"/>
              <w:bottom w:w="80" w:type="dxa"/>
              <w:right w:w="120" w:type="dxa"/>
            </w:tcMar>
          </w:tcPr>
          <w:p w14:paraId="3D545D88" wp14:textId="77777777">
            <w:r w:rsidRPr="4A2C92AA" w:rsidR="4A2C92AA">
              <w:rPr>
                <w:rFonts w:ascii="Times New Roman" w:hAnsi="Times New Roman" w:eastAsia="Times New Roman" w:cs="Times New Roman"/>
                <w:b w:val="1"/>
                <w:bCs w:val="1"/>
                <w:color w:val="FFFFFF"/>
                <w:sz w:val="20"/>
                <w:szCs w:val="20"/>
              </w:rPr>
              <w:t>Colombia/Petro</w:t>
            </w:r>
          </w:p>
        </w:tc>
      </w:tr>
      <w:tr xmlns:wp14="http://schemas.microsoft.com/office/word/2010/wordml" w:rsidTr="4A2C92AA" w14:paraId="1F244386" wp14:textId="77777777">
        <w:tc>
          <w:tcPr>
            <w:tcW w:w="1872" w:type="dxa"/>
            <w:shd w:val="clear" w:color="auto" w:fill="D5D5D5"/>
            <w:tcMar>
              <w:top w:w="80" w:type="dxa"/>
              <w:left w:w="120" w:type="dxa"/>
              <w:bottom w:w="80" w:type="dxa"/>
              <w:right w:w="120" w:type="dxa"/>
            </w:tcMar>
          </w:tcPr>
          <w:p w14:paraId="081A71F6" wp14:textId="77777777">
            <w:r w:rsidRPr="4A2C92AA" w:rsidR="4A2C92AA">
              <w:rPr>
                <w:rFonts w:ascii="Times New Roman" w:hAnsi="Times New Roman" w:eastAsia="Times New Roman" w:cs="Times New Roman"/>
                <w:b w:val="1"/>
                <w:bCs w:val="1"/>
                <w:sz w:val="20"/>
                <w:szCs w:val="20"/>
              </w:rPr>
              <w:t>Propuesta constituyente</w:t>
            </w:r>
          </w:p>
        </w:tc>
        <w:tc>
          <w:tcPr>
            <w:tcW w:w="1872" w:type="dxa"/>
            <w:shd w:val="clear" w:color="auto" w:fill="FFFFFF"/>
            <w:tcMar>
              <w:top w:w="80" w:type="dxa"/>
              <w:left w:w="120" w:type="dxa"/>
              <w:bottom w:w="80" w:type="dxa"/>
              <w:right w:w="120" w:type="dxa"/>
            </w:tcMar>
          </w:tcPr>
          <w:p w14:paraId="068E2B12" wp14:textId="77777777">
            <w:r w:rsidRPr="4A2C92AA" w:rsidR="4A2C92AA">
              <w:rPr>
                <w:rFonts w:ascii="Times New Roman" w:hAnsi="Times New Roman" w:eastAsia="Times New Roman" w:cs="Times New Roman"/>
                <w:b w:val="0"/>
                <w:bCs w:val="0"/>
                <w:sz w:val="20"/>
                <w:szCs w:val="20"/>
              </w:rPr>
              <w:t>Sí (1999)</w:t>
            </w:r>
          </w:p>
        </w:tc>
        <w:tc>
          <w:tcPr>
            <w:tcW w:w="1872" w:type="dxa"/>
            <w:shd w:val="clear" w:color="auto" w:fill="FFFFFF"/>
            <w:tcMar>
              <w:top w:w="80" w:type="dxa"/>
              <w:left w:w="120" w:type="dxa"/>
              <w:bottom w:w="80" w:type="dxa"/>
              <w:right w:w="120" w:type="dxa"/>
            </w:tcMar>
          </w:tcPr>
          <w:p w14:paraId="645E163A" wp14:textId="77777777">
            <w:r w:rsidRPr="4A2C92AA" w:rsidR="4A2C92AA">
              <w:rPr>
                <w:rFonts w:ascii="Times New Roman" w:hAnsi="Times New Roman" w:eastAsia="Times New Roman" w:cs="Times New Roman"/>
                <w:b w:val="0"/>
                <w:bCs w:val="0"/>
                <w:sz w:val="20"/>
                <w:szCs w:val="20"/>
              </w:rPr>
              <w:t>Sí (2009)</w:t>
            </w:r>
          </w:p>
        </w:tc>
        <w:tc>
          <w:tcPr>
            <w:tcW w:w="1872" w:type="dxa"/>
            <w:shd w:val="clear" w:color="auto" w:fill="FFFFFF"/>
            <w:tcMar>
              <w:top w:w="80" w:type="dxa"/>
              <w:left w:w="120" w:type="dxa"/>
              <w:bottom w:w="80" w:type="dxa"/>
              <w:right w:w="120" w:type="dxa"/>
            </w:tcMar>
          </w:tcPr>
          <w:p w14:paraId="36A5F31F" wp14:textId="77777777">
            <w:r w:rsidRPr="4A2C92AA" w:rsidR="4A2C92AA">
              <w:rPr>
                <w:rFonts w:ascii="Times New Roman" w:hAnsi="Times New Roman" w:eastAsia="Times New Roman" w:cs="Times New Roman"/>
                <w:b w:val="0"/>
                <w:bCs w:val="0"/>
                <w:sz w:val="20"/>
                <w:szCs w:val="20"/>
              </w:rPr>
              <w:t>Sí (2008)</w:t>
            </w:r>
          </w:p>
        </w:tc>
        <w:tc>
          <w:tcPr>
            <w:tcW w:w="1872" w:type="dxa"/>
            <w:shd w:val="clear" w:color="auto" w:fill="FFFFFF"/>
            <w:tcMar>
              <w:top w:w="80" w:type="dxa"/>
              <w:left w:w="120" w:type="dxa"/>
              <w:bottom w:w="80" w:type="dxa"/>
              <w:right w:w="120" w:type="dxa"/>
            </w:tcMar>
          </w:tcPr>
          <w:p w14:paraId="36F46055" wp14:textId="77777777">
            <w:r w:rsidRPr="4A2C92AA" w:rsidR="4A2C92AA">
              <w:rPr>
                <w:rFonts w:ascii="Times New Roman" w:hAnsi="Times New Roman" w:eastAsia="Times New Roman" w:cs="Times New Roman"/>
                <w:b w:val="0"/>
                <w:bCs w:val="0"/>
                <w:sz w:val="20"/>
                <w:szCs w:val="20"/>
              </w:rPr>
              <w:t>En agenda</w:t>
            </w:r>
          </w:p>
        </w:tc>
      </w:tr>
      <w:tr xmlns:wp14="http://schemas.microsoft.com/office/word/2010/wordml" w:rsidTr="4A2C92AA" w14:paraId="17D9496E" wp14:textId="77777777">
        <w:tc>
          <w:tcPr>
            <w:tcW w:w="1872" w:type="dxa"/>
            <w:shd w:val="clear" w:color="auto" w:fill="D5D5D5"/>
            <w:tcMar>
              <w:top w:w="80" w:type="dxa"/>
              <w:left w:w="120" w:type="dxa"/>
              <w:bottom w:w="80" w:type="dxa"/>
              <w:right w:w="120" w:type="dxa"/>
            </w:tcMar>
          </w:tcPr>
          <w:p w14:paraId="2A446E9C" wp14:textId="77777777">
            <w:r w:rsidRPr="4A2C92AA" w:rsidR="4A2C92AA">
              <w:rPr>
                <w:rFonts w:ascii="Times New Roman" w:hAnsi="Times New Roman" w:eastAsia="Times New Roman" w:cs="Times New Roman"/>
                <w:b w:val="1"/>
                <w:bCs w:val="1"/>
                <w:sz w:val="20"/>
                <w:szCs w:val="20"/>
              </w:rPr>
              <w:t>Retórica antiimperialista</w:t>
            </w:r>
          </w:p>
        </w:tc>
        <w:tc>
          <w:tcPr>
            <w:tcW w:w="1872" w:type="dxa"/>
            <w:shd w:val="clear" w:color="auto" w:fill="FFFFFF"/>
            <w:tcMar>
              <w:top w:w="80" w:type="dxa"/>
              <w:left w:w="120" w:type="dxa"/>
              <w:bottom w:w="80" w:type="dxa"/>
              <w:right w:w="120" w:type="dxa"/>
            </w:tcMar>
          </w:tcPr>
          <w:p w14:paraId="5DC2BAD2" wp14:textId="77777777">
            <w:r w:rsidRPr="4A2C92AA" w:rsidR="4A2C92AA">
              <w:rPr>
                <w:rFonts w:ascii="Times New Roman" w:hAnsi="Times New Roman" w:eastAsia="Times New Roman" w:cs="Times New Roman"/>
                <w:b w:val="0"/>
                <w:bCs w:val="0"/>
                <w:sz w:val="20"/>
                <w:szCs w:val="20"/>
              </w:rPr>
              <w:t>Alta</w:t>
            </w:r>
          </w:p>
        </w:tc>
        <w:tc>
          <w:tcPr>
            <w:tcW w:w="1872" w:type="dxa"/>
            <w:shd w:val="clear" w:color="auto" w:fill="FFFFFF"/>
            <w:tcMar>
              <w:top w:w="80" w:type="dxa"/>
              <w:left w:w="120" w:type="dxa"/>
              <w:bottom w:w="80" w:type="dxa"/>
              <w:right w:w="120" w:type="dxa"/>
            </w:tcMar>
          </w:tcPr>
          <w:p w14:paraId="02E44DCE" wp14:textId="77777777">
            <w:r w:rsidRPr="4A2C92AA" w:rsidR="4A2C92AA">
              <w:rPr>
                <w:rFonts w:ascii="Times New Roman" w:hAnsi="Times New Roman" w:eastAsia="Times New Roman" w:cs="Times New Roman"/>
                <w:b w:val="0"/>
                <w:bCs w:val="0"/>
                <w:sz w:val="20"/>
                <w:szCs w:val="20"/>
              </w:rPr>
              <w:t>Alta</w:t>
            </w:r>
          </w:p>
        </w:tc>
        <w:tc>
          <w:tcPr>
            <w:tcW w:w="1872" w:type="dxa"/>
            <w:shd w:val="clear" w:color="auto" w:fill="FFFFFF"/>
            <w:tcMar>
              <w:top w:w="80" w:type="dxa"/>
              <w:left w:w="120" w:type="dxa"/>
              <w:bottom w:w="80" w:type="dxa"/>
              <w:right w:w="120" w:type="dxa"/>
            </w:tcMar>
          </w:tcPr>
          <w:p w14:paraId="7B1CFF3D" wp14:textId="77777777">
            <w:r w:rsidRPr="4A2C92AA" w:rsidR="4A2C92AA">
              <w:rPr>
                <w:rFonts w:ascii="Times New Roman" w:hAnsi="Times New Roman" w:eastAsia="Times New Roman" w:cs="Times New Roman"/>
                <w:b w:val="0"/>
                <w:bCs w:val="0"/>
                <w:sz w:val="20"/>
                <w:szCs w:val="20"/>
              </w:rPr>
              <w:t>Alta</w:t>
            </w:r>
          </w:p>
        </w:tc>
        <w:tc>
          <w:tcPr>
            <w:tcW w:w="1872" w:type="dxa"/>
            <w:shd w:val="clear" w:color="auto" w:fill="FFFFFF"/>
            <w:tcMar>
              <w:top w:w="80" w:type="dxa"/>
              <w:left w:w="120" w:type="dxa"/>
              <w:bottom w:w="80" w:type="dxa"/>
              <w:right w:w="120" w:type="dxa"/>
            </w:tcMar>
          </w:tcPr>
          <w:p w14:paraId="149397E6" wp14:textId="77777777">
            <w:r w:rsidRPr="4A2C92AA" w:rsidR="4A2C92AA">
              <w:rPr>
                <w:rFonts w:ascii="Times New Roman" w:hAnsi="Times New Roman" w:eastAsia="Times New Roman" w:cs="Times New Roman"/>
                <w:b w:val="0"/>
                <w:bCs w:val="0"/>
                <w:sz w:val="20"/>
                <w:szCs w:val="20"/>
              </w:rPr>
              <w:t>Alta</w:t>
            </w:r>
          </w:p>
        </w:tc>
      </w:tr>
      <w:tr xmlns:wp14="http://schemas.microsoft.com/office/word/2010/wordml" w:rsidTr="4A2C92AA" w14:paraId="4618C4B4" wp14:textId="77777777">
        <w:tc>
          <w:tcPr>
            <w:tcW w:w="1872" w:type="dxa"/>
            <w:shd w:val="clear" w:color="auto" w:fill="D5D5D5"/>
            <w:tcMar>
              <w:top w:w="80" w:type="dxa"/>
              <w:left w:w="120" w:type="dxa"/>
              <w:bottom w:w="80" w:type="dxa"/>
              <w:right w:w="120" w:type="dxa"/>
            </w:tcMar>
          </w:tcPr>
          <w:p w14:paraId="77BB8E76" wp14:textId="77777777">
            <w:r w:rsidRPr="4A2C92AA" w:rsidR="4A2C92AA">
              <w:rPr>
                <w:rFonts w:ascii="Times New Roman" w:hAnsi="Times New Roman" w:eastAsia="Times New Roman" w:cs="Times New Roman"/>
                <w:b w:val="1"/>
                <w:bCs w:val="1"/>
                <w:sz w:val="20"/>
                <w:szCs w:val="20"/>
              </w:rPr>
              <w:t>Inflación inicial</w:t>
            </w:r>
          </w:p>
        </w:tc>
        <w:tc>
          <w:tcPr>
            <w:tcW w:w="1872" w:type="dxa"/>
            <w:shd w:val="clear" w:color="auto" w:fill="FFFFFF"/>
            <w:tcMar>
              <w:top w:w="80" w:type="dxa"/>
              <w:left w:w="120" w:type="dxa"/>
              <w:bottom w:w="80" w:type="dxa"/>
              <w:right w:w="120" w:type="dxa"/>
            </w:tcMar>
          </w:tcPr>
          <w:p w14:paraId="7CF13EA6" wp14:textId="77777777">
            <w:r w:rsidRPr="4A2C92AA" w:rsidR="4A2C92AA">
              <w:rPr>
                <w:rFonts w:ascii="Times New Roman" w:hAnsi="Times New Roman" w:eastAsia="Times New Roman" w:cs="Times New Roman"/>
                <w:b w:val="0"/>
                <w:bCs w:val="0"/>
                <w:sz w:val="20"/>
                <w:szCs w:val="20"/>
              </w:rPr>
              <w:t>&gt;30% (2003)</w:t>
            </w:r>
          </w:p>
        </w:tc>
        <w:tc>
          <w:tcPr>
            <w:tcW w:w="1872" w:type="dxa"/>
            <w:shd w:val="clear" w:color="auto" w:fill="FFFFFF"/>
            <w:tcMar>
              <w:top w:w="80" w:type="dxa"/>
              <w:left w:w="120" w:type="dxa"/>
              <w:bottom w:w="80" w:type="dxa"/>
              <w:right w:w="120" w:type="dxa"/>
            </w:tcMar>
          </w:tcPr>
          <w:p w14:paraId="13EB5B44" wp14:textId="77777777">
            <w:r w:rsidRPr="4A2C92AA" w:rsidR="4A2C92AA">
              <w:rPr>
                <w:rFonts w:ascii="Times New Roman" w:hAnsi="Times New Roman" w:eastAsia="Times New Roman" w:cs="Times New Roman"/>
                <w:b w:val="0"/>
                <w:bCs w:val="0"/>
                <w:sz w:val="20"/>
                <w:szCs w:val="20"/>
              </w:rPr>
              <w:t>4.5% (2008)</w:t>
            </w:r>
          </w:p>
        </w:tc>
        <w:tc>
          <w:tcPr>
            <w:tcW w:w="1872" w:type="dxa"/>
            <w:shd w:val="clear" w:color="auto" w:fill="FFFFFF"/>
            <w:tcMar>
              <w:top w:w="80" w:type="dxa"/>
              <w:left w:w="120" w:type="dxa"/>
              <w:bottom w:w="80" w:type="dxa"/>
              <w:right w:w="120" w:type="dxa"/>
            </w:tcMar>
          </w:tcPr>
          <w:p w14:paraId="54A900B1" wp14:textId="77777777">
            <w:r w:rsidRPr="4A2C92AA" w:rsidR="4A2C92AA">
              <w:rPr>
                <w:rFonts w:ascii="Times New Roman" w:hAnsi="Times New Roman" w:eastAsia="Times New Roman" w:cs="Times New Roman"/>
                <w:b w:val="0"/>
                <w:bCs w:val="0"/>
                <w:sz w:val="20"/>
                <w:szCs w:val="20"/>
              </w:rPr>
              <w:t>8.4% (2008)</w:t>
            </w:r>
          </w:p>
        </w:tc>
        <w:tc>
          <w:tcPr>
            <w:tcW w:w="1872" w:type="dxa"/>
            <w:shd w:val="clear" w:color="auto" w:fill="FFFFFF"/>
            <w:tcMar>
              <w:top w:w="80" w:type="dxa"/>
              <w:left w:w="120" w:type="dxa"/>
              <w:bottom w:w="80" w:type="dxa"/>
              <w:right w:w="120" w:type="dxa"/>
            </w:tcMar>
          </w:tcPr>
          <w:p w14:paraId="4D82FFDD" wp14:textId="77777777">
            <w:r w:rsidRPr="4A2C92AA" w:rsidR="4A2C92AA">
              <w:rPr>
                <w:rFonts w:ascii="Times New Roman" w:hAnsi="Times New Roman" w:eastAsia="Times New Roman" w:cs="Times New Roman"/>
                <w:b w:val="0"/>
                <w:bCs w:val="0"/>
                <w:sz w:val="20"/>
                <w:szCs w:val="20"/>
              </w:rPr>
              <w:t>13.1% (2022)</w:t>
            </w:r>
          </w:p>
        </w:tc>
      </w:tr>
      <w:tr xmlns:wp14="http://schemas.microsoft.com/office/word/2010/wordml" w:rsidTr="4A2C92AA" w14:paraId="5CEA6E2B" wp14:textId="77777777">
        <w:tc>
          <w:tcPr>
            <w:tcW w:w="1872" w:type="dxa"/>
            <w:shd w:val="clear" w:color="auto" w:fill="D5D5D5"/>
            <w:tcMar>
              <w:top w:w="80" w:type="dxa"/>
              <w:left w:w="120" w:type="dxa"/>
              <w:bottom w:w="80" w:type="dxa"/>
              <w:right w:w="120" w:type="dxa"/>
            </w:tcMar>
          </w:tcPr>
          <w:p w14:paraId="61FB4BC7" wp14:textId="77777777">
            <w:r w:rsidRPr="4A2C92AA" w:rsidR="4A2C92AA">
              <w:rPr>
                <w:rFonts w:ascii="Times New Roman" w:hAnsi="Times New Roman" w:eastAsia="Times New Roman" w:cs="Times New Roman"/>
                <w:b w:val="1"/>
                <w:bCs w:val="1"/>
                <w:sz w:val="20"/>
                <w:szCs w:val="20"/>
              </w:rPr>
              <w:t>Presión sobre medios</w:t>
            </w:r>
          </w:p>
        </w:tc>
        <w:tc>
          <w:tcPr>
            <w:tcW w:w="1872" w:type="dxa"/>
            <w:shd w:val="clear" w:color="auto" w:fill="FFFFFF"/>
            <w:tcMar>
              <w:top w:w="80" w:type="dxa"/>
              <w:left w:w="120" w:type="dxa"/>
              <w:bottom w:w="80" w:type="dxa"/>
              <w:right w:w="120" w:type="dxa"/>
            </w:tcMar>
          </w:tcPr>
          <w:p w14:paraId="72005313" wp14:textId="77777777">
            <w:r w:rsidRPr="4A2C92AA" w:rsidR="4A2C92AA">
              <w:rPr>
                <w:rFonts w:ascii="Times New Roman" w:hAnsi="Times New Roman" w:eastAsia="Times New Roman" w:cs="Times New Roman"/>
                <w:b w:val="0"/>
                <w:bCs w:val="0"/>
                <w:sz w:val="20"/>
                <w:szCs w:val="20"/>
              </w:rPr>
              <w:t>Alta</w:t>
            </w:r>
          </w:p>
        </w:tc>
        <w:tc>
          <w:tcPr>
            <w:tcW w:w="1872" w:type="dxa"/>
            <w:shd w:val="clear" w:color="auto" w:fill="FFFFFF"/>
            <w:tcMar>
              <w:top w:w="80" w:type="dxa"/>
              <w:left w:w="120" w:type="dxa"/>
              <w:bottom w:w="80" w:type="dxa"/>
              <w:right w:w="120" w:type="dxa"/>
            </w:tcMar>
          </w:tcPr>
          <w:p w14:paraId="56AB1CB6" wp14:textId="77777777">
            <w:r w:rsidRPr="4A2C92AA" w:rsidR="4A2C92AA">
              <w:rPr>
                <w:rFonts w:ascii="Times New Roman" w:hAnsi="Times New Roman" w:eastAsia="Times New Roman" w:cs="Times New Roman"/>
                <w:b w:val="0"/>
                <w:bCs w:val="0"/>
                <w:sz w:val="20"/>
                <w:szCs w:val="20"/>
              </w:rPr>
              <w:t>Media</w:t>
            </w:r>
          </w:p>
        </w:tc>
        <w:tc>
          <w:tcPr>
            <w:tcW w:w="1872" w:type="dxa"/>
            <w:shd w:val="clear" w:color="auto" w:fill="FFFFFF"/>
            <w:tcMar>
              <w:top w:w="80" w:type="dxa"/>
              <w:left w:w="120" w:type="dxa"/>
              <w:bottom w:w="80" w:type="dxa"/>
              <w:right w:w="120" w:type="dxa"/>
            </w:tcMar>
          </w:tcPr>
          <w:p w14:paraId="4485714D" wp14:textId="77777777">
            <w:r w:rsidRPr="4A2C92AA" w:rsidR="4A2C92AA">
              <w:rPr>
                <w:rFonts w:ascii="Times New Roman" w:hAnsi="Times New Roman" w:eastAsia="Times New Roman" w:cs="Times New Roman"/>
                <w:b w:val="0"/>
                <w:bCs w:val="0"/>
                <w:sz w:val="20"/>
                <w:szCs w:val="20"/>
              </w:rPr>
              <w:t>Alta</w:t>
            </w:r>
          </w:p>
        </w:tc>
        <w:tc>
          <w:tcPr>
            <w:tcW w:w="1872" w:type="dxa"/>
            <w:shd w:val="clear" w:color="auto" w:fill="FFFFFF"/>
            <w:tcMar>
              <w:top w:w="80" w:type="dxa"/>
              <w:left w:w="120" w:type="dxa"/>
              <w:bottom w:w="80" w:type="dxa"/>
              <w:right w:w="120" w:type="dxa"/>
            </w:tcMar>
          </w:tcPr>
          <w:p w14:paraId="65F5D0AB" wp14:textId="77777777">
            <w:r w:rsidRPr="4A2C92AA" w:rsidR="4A2C92AA">
              <w:rPr>
                <w:rFonts w:ascii="Times New Roman" w:hAnsi="Times New Roman" w:eastAsia="Times New Roman" w:cs="Times New Roman"/>
                <w:b w:val="0"/>
                <w:bCs w:val="0"/>
                <w:sz w:val="20"/>
                <w:szCs w:val="20"/>
              </w:rPr>
              <w:t>Media-Alta</w:t>
            </w:r>
          </w:p>
        </w:tc>
      </w:tr>
      <w:tr xmlns:wp14="http://schemas.microsoft.com/office/word/2010/wordml" w:rsidTr="4A2C92AA" w14:paraId="5E5A0430" wp14:textId="77777777">
        <w:tc>
          <w:tcPr>
            <w:tcW w:w="1872" w:type="dxa"/>
            <w:shd w:val="clear" w:color="auto" w:fill="D5D5D5"/>
            <w:tcMar>
              <w:top w:w="80" w:type="dxa"/>
              <w:left w:w="120" w:type="dxa"/>
              <w:bottom w:w="80" w:type="dxa"/>
              <w:right w:w="120" w:type="dxa"/>
            </w:tcMar>
          </w:tcPr>
          <w:p w14:paraId="3E51143C" wp14:textId="77777777">
            <w:r w:rsidRPr="4A2C92AA" w:rsidR="4A2C92AA">
              <w:rPr>
                <w:rFonts w:ascii="Times New Roman" w:hAnsi="Times New Roman" w:eastAsia="Times New Roman" w:cs="Times New Roman"/>
                <w:b w:val="1"/>
                <w:bCs w:val="1"/>
                <w:sz w:val="20"/>
                <w:szCs w:val="20"/>
              </w:rPr>
              <w:t>Concentración ejecutiva</w:t>
            </w:r>
          </w:p>
        </w:tc>
        <w:tc>
          <w:tcPr>
            <w:tcW w:w="1872" w:type="dxa"/>
            <w:shd w:val="clear" w:color="auto" w:fill="FFFFFF"/>
            <w:tcMar>
              <w:top w:w="80" w:type="dxa"/>
              <w:left w:w="120" w:type="dxa"/>
              <w:bottom w:w="80" w:type="dxa"/>
              <w:right w:w="120" w:type="dxa"/>
            </w:tcMar>
          </w:tcPr>
          <w:p w14:paraId="106EBB4F" wp14:textId="77777777">
            <w:r w:rsidRPr="4A2C92AA" w:rsidR="4A2C92AA">
              <w:rPr>
                <w:rFonts w:ascii="Times New Roman" w:hAnsi="Times New Roman" w:eastAsia="Times New Roman" w:cs="Times New Roman"/>
                <w:b w:val="0"/>
                <w:bCs w:val="0"/>
                <w:sz w:val="20"/>
                <w:szCs w:val="20"/>
              </w:rPr>
              <w:t>Muy alta</w:t>
            </w:r>
          </w:p>
        </w:tc>
        <w:tc>
          <w:tcPr>
            <w:tcW w:w="1872" w:type="dxa"/>
            <w:shd w:val="clear" w:color="auto" w:fill="FFFFFF"/>
            <w:tcMar>
              <w:top w:w="80" w:type="dxa"/>
              <w:left w:w="120" w:type="dxa"/>
              <w:bottom w:w="80" w:type="dxa"/>
              <w:right w:w="120" w:type="dxa"/>
            </w:tcMar>
          </w:tcPr>
          <w:p w14:paraId="5F05A162" wp14:textId="77777777">
            <w:r w:rsidRPr="4A2C92AA" w:rsidR="4A2C92AA">
              <w:rPr>
                <w:rFonts w:ascii="Times New Roman" w:hAnsi="Times New Roman" w:eastAsia="Times New Roman" w:cs="Times New Roman"/>
                <w:b w:val="0"/>
                <w:bCs w:val="0"/>
                <w:sz w:val="20"/>
                <w:szCs w:val="20"/>
              </w:rPr>
              <w:t>Alta</w:t>
            </w:r>
          </w:p>
        </w:tc>
        <w:tc>
          <w:tcPr>
            <w:tcW w:w="1872" w:type="dxa"/>
            <w:shd w:val="clear" w:color="auto" w:fill="FFFFFF"/>
            <w:tcMar>
              <w:top w:w="80" w:type="dxa"/>
              <w:left w:w="120" w:type="dxa"/>
              <w:bottom w:w="80" w:type="dxa"/>
              <w:right w:w="120" w:type="dxa"/>
            </w:tcMar>
          </w:tcPr>
          <w:p w14:paraId="0CBADD79" wp14:textId="77777777">
            <w:r w:rsidRPr="4A2C92AA" w:rsidR="4A2C92AA">
              <w:rPr>
                <w:rFonts w:ascii="Times New Roman" w:hAnsi="Times New Roman" w:eastAsia="Times New Roman" w:cs="Times New Roman"/>
                <w:b w:val="0"/>
                <w:bCs w:val="0"/>
                <w:sz w:val="20"/>
                <w:szCs w:val="20"/>
              </w:rPr>
              <w:t>Alta</w:t>
            </w:r>
          </w:p>
        </w:tc>
        <w:tc>
          <w:tcPr>
            <w:tcW w:w="1872" w:type="dxa"/>
            <w:shd w:val="clear" w:color="auto" w:fill="FFFFFF"/>
            <w:tcMar>
              <w:top w:w="80" w:type="dxa"/>
              <w:left w:w="120" w:type="dxa"/>
              <w:bottom w:w="80" w:type="dxa"/>
              <w:right w:w="120" w:type="dxa"/>
            </w:tcMar>
          </w:tcPr>
          <w:p w14:paraId="228A9326" wp14:textId="77777777">
            <w:r w:rsidRPr="4A2C92AA" w:rsidR="4A2C92AA">
              <w:rPr>
                <w:rFonts w:ascii="Times New Roman" w:hAnsi="Times New Roman" w:eastAsia="Times New Roman" w:cs="Times New Roman"/>
                <w:b w:val="0"/>
                <w:bCs w:val="0"/>
                <w:sz w:val="20"/>
                <w:szCs w:val="20"/>
              </w:rPr>
              <w:t>En proceso</w:t>
            </w:r>
          </w:p>
        </w:tc>
      </w:tr>
      <w:tr xmlns:wp14="http://schemas.microsoft.com/office/word/2010/wordml" w:rsidTr="4A2C92AA" w14:paraId="6BDACF26" wp14:textId="77777777">
        <w:tc>
          <w:tcPr>
            <w:tcW w:w="1872" w:type="dxa"/>
            <w:shd w:val="clear" w:color="auto" w:fill="D5D5D5"/>
            <w:tcMar>
              <w:top w:w="80" w:type="dxa"/>
              <w:left w:w="120" w:type="dxa"/>
              <w:bottom w:w="80" w:type="dxa"/>
              <w:right w:w="120" w:type="dxa"/>
            </w:tcMar>
          </w:tcPr>
          <w:p w14:paraId="42DCD0BB" wp14:textId="77777777">
            <w:r w:rsidRPr="4A2C92AA" w:rsidR="4A2C92AA">
              <w:rPr>
                <w:rFonts w:ascii="Times New Roman" w:hAnsi="Times New Roman" w:eastAsia="Times New Roman" w:cs="Times New Roman"/>
                <w:b w:val="1"/>
                <w:bCs w:val="1"/>
                <w:sz w:val="20"/>
                <w:szCs w:val="20"/>
              </w:rPr>
              <w:t>Reforma agraria propuesta</w:t>
            </w:r>
          </w:p>
        </w:tc>
        <w:tc>
          <w:tcPr>
            <w:tcW w:w="1872" w:type="dxa"/>
            <w:shd w:val="clear" w:color="auto" w:fill="FFFFFF"/>
            <w:tcMar>
              <w:top w:w="80" w:type="dxa"/>
              <w:left w:w="120" w:type="dxa"/>
              <w:bottom w:w="80" w:type="dxa"/>
              <w:right w:w="120" w:type="dxa"/>
            </w:tcMar>
          </w:tcPr>
          <w:p w14:paraId="0C4E885E" wp14:textId="77777777">
            <w:r w:rsidRPr="4A2C92AA" w:rsidR="4A2C92AA">
              <w:rPr>
                <w:rFonts w:ascii="Times New Roman" w:hAnsi="Times New Roman" w:eastAsia="Times New Roman" w:cs="Times New Roman"/>
                <w:b w:val="0"/>
                <w:bCs w:val="0"/>
                <w:sz w:val="20"/>
                <w:szCs w:val="20"/>
              </w:rPr>
              <w:t>Sí</w:t>
            </w:r>
          </w:p>
        </w:tc>
        <w:tc>
          <w:tcPr>
            <w:tcW w:w="1872" w:type="dxa"/>
            <w:shd w:val="clear" w:color="auto" w:fill="FFFFFF"/>
            <w:tcMar>
              <w:top w:w="80" w:type="dxa"/>
              <w:left w:w="120" w:type="dxa"/>
              <w:bottom w:w="80" w:type="dxa"/>
              <w:right w:w="120" w:type="dxa"/>
            </w:tcMar>
          </w:tcPr>
          <w:p w14:paraId="192133FC" wp14:textId="77777777">
            <w:r w:rsidRPr="4A2C92AA" w:rsidR="4A2C92AA">
              <w:rPr>
                <w:rFonts w:ascii="Times New Roman" w:hAnsi="Times New Roman" w:eastAsia="Times New Roman" w:cs="Times New Roman"/>
                <w:b w:val="0"/>
                <w:bCs w:val="0"/>
                <w:sz w:val="20"/>
                <w:szCs w:val="20"/>
              </w:rPr>
              <w:t>Sí</w:t>
            </w:r>
          </w:p>
        </w:tc>
        <w:tc>
          <w:tcPr>
            <w:tcW w:w="1872" w:type="dxa"/>
            <w:shd w:val="clear" w:color="auto" w:fill="FFFFFF"/>
            <w:tcMar>
              <w:top w:w="80" w:type="dxa"/>
              <w:left w:w="120" w:type="dxa"/>
              <w:bottom w:w="80" w:type="dxa"/>
              <w:right w:w="120" w:type="dxa"/>
            </w:tcMar>
          </w:tcPr>
          <w:p w14:paraId="2DC9BEC8" wp14:textId="77777777">
            <w:r w:rsidRPr="4A2C92AA" w:rsidR="4A2C92AA">
              <w:rPr>
                <w:rFonts w:ascii="Times New Roman" w:hAnsi="Times New Roman" w:eastAsia="Times New Roman" w:cs="Times New Roman"/>
                <w:b w:val="0"/>
                <w:bCs w:val="0"/>
                <w:sz w:val="20"/>
                <w:szCs w:val="20"/>
              </w:rPr>
              <w:t>Parcial</w:t>
            </w:r>
          </w:p>
        </w:tc>
        <w:tc>
          <w:tcPr>
            <w:tcW w:w="1872" w:type="dxa"/>
            <w:shd w:val="clear" w:color="auto" w:fill="FFFFFF"/>
            <w:tcMar>
              <w:top w:w="80" w:type="dxa"/>
              <w:left w:w="120" w:type="dxa"/>
              <w:bottom w:w="80" w:type="dxa"/>
              <w:right w:w="120" w:type="dxa"/>
            </w:tcMar>
          </w:tcPr>
          <w:p w14:paraId="1683727A" wp14:textId="77777777">
            <w:r w:rsidRPr="4A2C92AA" w:rsidR="4A2C92AA">
              <w:rPr>
                <w:rFonts w:ascii="Times New Roman" w:hAnsi="Times New Roman" w:eastAsia="Times New Roman" w:cs="Times New Roman"/>
                <w:b w:val="0"/>
                <w:bCs w:val="0"/>
                <w:sz w:val="20"/>
                <w:szCs w:val="20"/>
              </w:rPr>
              <w:t>Sí</w:t>
            </w:r>
          </w:p>
        </w:tc>
      </w:tr>
      <w:tr xmlns:wp14="http://schemas.microsoft.com/office/word/2010/wordml" w:rsidTr="4A2C92AA" w14:paraId="5CF48E00" wp14:textId="77777777">
        <w:tc>
          <w:tcPr>
            <w:tcW w:w="1872" w:type="dxa"/>
            <w:shd w:val="clear" w:color="auto" w:fill="D5D5D5"/>
            <w:tcMar>
              <w:top w:w="80" w:type="dxa"/>
              <w:left w:w="120" w:type="dxa"/>
              <w:bottom w:w="80" w:type="dxa"/>
              <w:right w:w="120" w:type="dxa"/>
            </w:tcMar>
          </w:tcPr>
          <w:p w14:paraId="47EEDC89" wp14:textId="77777777">
            <w:r w:rsidRPr="4A2C92AA" w:rsidR="4A2C92AA">
              <w:rPr>
                <w:rFonts w:ascii="Times New Roman" w:hAnsi="Times New Roman" w:eastAsia="Times New Roman" w:cs="Times New Roman"/>
                <w:b w:val="1"/>
                <w:bCs w:val="1"/>
                <w:sz w:val="20"/>
                <w:szCs w:val="20"/>
              </w:rPr>
              <w:t>Dependencia de commodities</w:t>
            </w:r>
          </w:p>
        </w:tc>
        <w:tc>
          <w:tcPr>
            <w:tcW w:w="1872" w:type="dxa"/>
            <w:shd w:val="clear" w:color="auto" w:fill="FFFFFF"/>
            <w:tcMar>
              <w:top w:w="80" w:type="dxa"/>
              <w:left w:w="120" w:type="dxa"/>
              <w:bottom w:w="80" w:type="dxa"/>
              <w:right w:w="120" w:type="dxa"/>
            </w:tcMar>
          </w:tcPr>
          <w:p w14:paraId="40F3504C" wp14:textId="77777777">
            <w:r w:rsidRPr="4A2C92AA" w:rsidR="4A2C92AA">
              <w:rPr>
                <w:rFonts w:ascii="Times New Roman" w:hAnsi="Times New Roman" w:eastAsia="Times New Roman" w:cs="Times New Roman"/>
                <w:b w:val="0"/>
                <w:bCs w:val="0"/>
                <w:sz w:val="20"/>
                <w:szCs w:val="20"/>
              </w:rPr>
              <w:t>Muy alta</w:t>
            </w:r>
          </w:p>
        </w:tc>
        <w:tc>
          <w:tcPr>
            <w:tcW w:w="1872" w:type="dxa"/>
            <w:shd w:val="clear" w:color="auto" w:fill="FFFFFF"/>
            <w:tcMar>
              <w:top w:w="80" w:type="dxa"/>
              <w:left w:w="120" w:type="dxa"/>
              <w:bottom w:w="80" w:type="dxa"/>
              <w:right w:w="120" w:type="dxa"/>
            </w:tcMar>
          </w:tcPr>
          <w:p w14:paraId="71B392E1" wp14:textId="77777777">
            <w:r w:rsidRPr="4A2C92AA" w:rsidR="4A2C92AA">
              <w:rPr>
                <w:rFonts w:ascii="Times New Roman" w:hAnsi="Times New Roman" w:eastAsia="Times New Roman" w:cs="Times New Roman"/>
                <w:b w:val="0"/>
                <w:bCs w:val="0"/>
                <w:sz w:val="20"/>
                <w:szCs w:val="20"/>
              </w:rPr>
              <w:t>Alta</w:t>
            </w:r>
          </w:p>
        </w:tc>
        <w:tc>
          <w:tcPr>
            <w:tcW w:w="1872" w:type="dxa"/>
            <w:shd w:val="clear" w:color="auto" w:fill="FFFFFF"/>
            <w:tcMar>
              <w:top w:w="80" w:type="dxa"/>
              <w:left w:w="120" w:type="dxa"/>
              <w:bottom w:w="80" w:type="dxa"/>
              <w:right w:w="120" w:type="dxa"/>
            </w:tcMar>
          </w:tcPr>
          <w:p w14:paraId="0608F968" wp14:textId="77777777">
            <w:r w:rsidRPr="4A2C92AA" w:rsidR="4A2C92AA">
              <w:rPr>
                <w:rFonts w:ascii="Times New Roman" w:hAnsi="Times New Roman" w:eastAsia="Times New Roman" w:cs="Times New Roman"/>
                <w:b w:val="0"/>
                <w:bCs w:val="0"/>
                <w:sz w:val="20"/>
                <w:szCs w:val="20"/>
              </w:rPr>
              <w:t>Alta</w:t>
            </w:r>
          </w:p>
        </w:tc>
        <w:tc>
          <w:tcPr>
            <w:tcW w:w="1872" w:type="dxa"/>
            <w:shd w:val="clear" w:color="auto" w:fill="FFFFFF"/>
            <w:tcMar>
              <w:top w:w="80" w:type="dxa"/>
              <w:left w:w="120" w:type="dxa"/>
              <w:bottom w:w="80" w:type="dxa"/>
              <w:right w:w="120" w:type="dxa"/>
            </w:tcMar>
          </w:tcPr>
          <w:p w14:paraId="73B27134" wp14:textId="77777777">
            <w:r w:rsidRPr="4A2C92AA" w:rsidR="4A2C92AA">
              <w:rPr>
                <w:rFonts w:ascii="Times New Roman" w:hAnsi="Times New Roman" w:eastAsia="Times New Roman" w:cs="Times New Roman"/>
                <w:b w:val="0"/>
                <w:bCs w:val="0"/>
                <w:sz w:val="20"/>
                <w:szCs w:val="20"/>
              </w:rPr>
              <w:t>Alta</w:t>
            </w:r>
          </w:p>
        </w:tc>
      </w:tr>
    </w:tbl>
    <w:p xmlns:wp14="http://schemas.microsoft.com/office/word/2010/wordml" w14:paraId="7194DBDC" wp14:textId="77777777">
      <w:pPr>
        <w:spacing w:before="0" w:after="0" w:line="480" w:lineRule="auto"/>
      </w:pPr>
    </w:p>
    <w:p xmlns:wp14="http://schemas.microsoft.com/office/word/2010/wordml" w14:paraId="5B97C5DC" wp14:textId="77777777">
      <w:pPr>
        <w:spacing w:before="0" w:after="0" w:line="480" w:lineRule="auto"/>
        <w:ind/>
        <w:jc w:val="both"/>
      </w:pPr>
      <w:r w:rsidRPr="4A2C92AA" w:rsidR="4A2C92AA">
        <w:rPr>
          <w:rFonts w:ascii="Times New Roman" w:hAnsi="Times New Roman" w:eastAsia="Times New Roman" w:cs="Times New Roman"/>
          <w:b w:val="0"/>
          <w:bCs w:val="0"/>
          <w:i w:val="1"/>
          <w:iCs w:val="1"/>
          <w:sz w:val="24"/>
          <w:szCs w:val="24"/>
        </w:rPr>
        <w:t>Fuente: Elaboración propia con base en datos del FMI, CEPAL, World Justice Project y fuentes gubernamentales nacionales de cada país.</w:t>
      </w:r>
    </w:p>
    <w:p xmlns:wp14="http://schemas.microsoft.com/office/word/2010/wordml" w14:paraId="769D0D3C" wp14:textId="77777777">
      <w:pPr>
        <w:spacing w:before="0" w:after="0" w:line="480" w:lineRule="auto"/>
      </w:pPr>
    </w:p>
    <w:p xmlns:wp14="http://schemas.microsoft.com/office/word/2010/wordml" w14:paraId="3C5872C1" wp14:textId="77777777">
      <w:pPr>
        <w:spacing w:before="0" w:after="0" w:line="480" w:lineRule="auto"/>
        <w:ind w:firstLine="720"/>
        <w:jc w:val="left"/>
      </w:pPr>
      <w:r w:rsidRPr="4A2C92AA" w:rsidR="4A2C92AA">
        <w:rPr>
          <w:rFonts w:ascii="Times New Roman" w:hAnsi="Times New Roman" w:eastAsia="Times New Roman" w:cs="Times New Roman"/>
          <w:b w:val="1"/>
          <w:bCs w:val="1"/>
          <w:i w:val="1"/>
          <w:iCs w:val="1"/>
          <w:sz w:val="24"/>
          <w:szCs w:val="24"/>
        </w:rPr>
        <w:t>7.5 Deterioro de la aprobación presidencial</w:t>
      </w:r>
    </w:p>
    <w:p xmlns:wp14="http://schemas.microsoft.com/office/word/2010/wordml" w14:paraId="54CD245A" wp14:textId="77777777">
      <w:pPr>
        <w:spacing w:before="0" w:after="0" w:line="480" w:lineRule="auto"/>
      </w:pPr>
    </w:p>
    <w:p xmlns:wp14="http://schemas.microsoft.com/office/word/2010/wordml" w14:paraId="5E16A089" wp14:textId="77777777">
      <w:pPr>
        <w:spacing w:before="0" w:after="0" w:line="480" w:lineRule="auto"/>
        <w:ind w:firstLine="720"/>
        <w:jc w:val="both"/>
      </w:pPr>
      <w:r w:rsidRPr="4A2C92AA" w:rsidR="4A2C92AA">
        <w:rPr>
          <w:rFonts w:ascii="Times New Roman" w:hAnsi="Times New Roman" w:eastAsia="Times New Roman" w:cs="Times New Roman"/>
          <w:b w:val="0"/>
          <w:bCs w:val="0"/>
          <w:i w:val="0"/>
          <w:iCs w:val="0"/>
          <w:sz w:val="24"/>
          <w:szCs w:val="24"/>
        </w:rPr>
        <w:t>La aprobación presidencial de Petro exhibe una curva de declive consistente con la de otros líderes populistas latinoamericanos tras el agotamiento de la euforia electoral. Según Invamer Poll, la aprobación de Petro pasó del 55% en agosto de 2022 al 33% en enero de 2024 y al 28% en octubre de 2024, con una desaprobación del 65%. Este deterioro es particularmente pronunciado en los sectores medios urbanos —Bogotá, Medellín, Cali— donde el petrismo había construido parte de su coalición electoral (Invamer, 2024; Gallup Colombia, 2024).</w:t>
      </w:r>
    </w:p>
    <w:p xmlns:wp14="http://schemas.microsoft.com/office/word/2010/wordml" w14:paraId="1231BE67" wp14:textId="77777777">
      <w:pPr>
        <w:spacing w:before="0" w:after="0" w:line="480" w:lineRule="auto"/>
      </w:pPr>
    </w:p>
    <w:p xmlns:wp14="http://schemas.microsoft.com/office/word/2010/wordml" w14:paraId="357E063F" wp14:textId="77777777">
      <w:pPr>
        <w:spacing w:before="0" w:after="0" w:line="480" w:lineRule="auto"/>
        <w:ind w:firstLine="720"/>
        <w:jc w:val="both"/>
      </w:pPr>
      <w:r w:rsidRPr="4A2C92AA" w:rsidR="4A2C92AA">
        <w:rPr>
          <w:rFonts w:ascii="Times New Roman" w:hAnsi="Times New Roman" w:eastAsia="Times New Roman" w:cs="Times New Roman"/>
          <w:b w:val="0"/>
          <w:bCs w:val="0"/>
          <w:i w:val="0"/>
          <w:iCs w:val="0"/>
          <w:sz w:val="24"/>
          <w:szCs w:val="24"/>
        </w:rPr>
        <w:t>El patrón comparativo es elocuente: Chávez pasó del 80% de aprobación en 1999 al 38% en 2003 antes de recuperarse con el boom petrolero; Correa del 72% en 2007 al 29% en 2016; Morales del 67% en 2006 al 34% en 2019. La rapidez y magnitud del deterioro de Petro supera la de sus antecesores, posiblemente porque Colombia tiene una mayor clase media que actúa como electorado de control más sensible al desempeño económico (Latinobarómetro, 2024).</w:t>
      </w:r>
    </w:p>
    <w:p xmlns:wp14="http://schemas.microsoft.com/office/word/2010/wordml" w14:paraId="36FEB5B0" wp14:textId="77777777">
      <w:pPr>
        <w:spacing w:before="0" w:after="0" w:line="480" w:lineRule="auto"/>
      </w:pPr>
    </w:p>
    <w:p xmlns:wp14="http://schemas.microsoft.com/office/word/2010/wordml" w14:paraId="490DD41C" wp14:textId="77777777">
      <w:pPr>
        <w:spacing w:before="0" w:after="0" w:line="480" w:lineRule="auto"/>
        <w:ind w:firstLine="720"/>
        <w:jc w:val="left"/>
      </w:pPr>
      <w:r w:rsidRPr="4A2C92AA" w:rsidR="4A2C92AA">
        <w:rPr>
          <w:rFonts w:ascii="Times New Roman" w:hAnsi="Times New Roman" w:eastAsia="Times New Roman" w:cs="Times New Roman"/>
          <w:b w:val="1"/>
          <w:bCs w:val="1"/>
          <w:i w:val="1"/>
          <w:iCs w:val="1"/>
          <w:sz w:val="24"/>
          <w:szCs w:val="24"/>
        </w:rPr>
        <w:t>7.6 Impacto sobre el conflicto armado</w:t>
      </w:r>
    </w:p>
    <w:p xmlns:wp14="http://schemas.microsoft.com/office/word/2010/wordml" w14:paraId="30D7AA69" wp14:textId="77777777">
      <w:pPr>
        <w:spacing w:before="0" w:after="0" w:line="480" w:lineRule="auto"/>
      </w:pPr>
    </w:p>
    <w:p xmlns:wp14="http://schemas.microsoft.com/office/word/2010/wordml" w14:paraId="7EEDAFEA" wp14:textId="77777777">
      <w:pPr>
        <w:spacing w:before="0" w:after="0" w:line="480" w:lineRule="auto"/>
        <w:ind w:firstLine="720"/>
        <w:jc w:val="both"/>
      </w:pPr>
      <w:r w:rsidRPr="4A2C92AA" w:rsidR="4A2C92AA">
        <w:rPr>
          <w:rFonts w:ascii="Times New Roman" w:hAnsi="Times New Roman" w:eastAsia="Times New Roman" w:cs="Times New Roman"/>
          <w:b w:val="0"/>
          <w:bCs w:val="0"/>
          <w:i w:val="0"/>
          <w:iCs w:val="0"/>
          <w:sz w:val="24"/>
          <w:szCs w:val="24"/>
        </w:rPr>
        <w:t>La política de 'Paz Total' del gobierno Petro —negociaciones simultáneas con el ELN, las disidencias de las FARC, el Clan del Golfo y otras organizaciones armadas— ha producido resultados institucionalmente problemáticos. La Defensoría del Pueblo registró un aumento del 23% en el desplazamiento forzado en 2023 respecto a 2022, y del 31% en el primer semestre de 2024. La tasa de homicidios en los departamentos con presencia de grupos armados negociadores aumentó en varios municipios durante los ceses al fuego decretados unilateralmente por el gobierno, evidenciando el uso de estos espacios de alivio militar por parte de los grupos para rearmarse y expandir territorios (Defensoría del Pueblo, 2024; INDEPAZ, 2024).</w:t>
      </w:r>
    </w:p>
    <w:p xmlns:wp14="http://schemas.microsoft.com/office/word/2010/wordml" w14:paraId="7196D064" wp14:textId="77777777">
      <w:r>
        <w:br w:type="page"/>
      </w:r>
    </w:p>
    <w:p xmlns:wp14="http://schemas.microsoft.com/office/word/2010/wordml" w14:paraId="0874FA56" wp14:textId="77777777">
      <w:pPr>
        <w:spacing w:before="0" w:after="0" w:line="480" w:lineRule="auto"/>
        <w:jc w:val="left"/>
      </w:pPr>
      <w:r w:rsidRPr="4A2C92AA" w:rsidR="4A2C92AA">
        <w:rPr>
          <w:rFonts w:ascii="Times New Roman" w:hAnsi="Times New Roman" w:eastAsia="Times New Roman" w:cs="Times New Roman"/>
          <w:b w:val="1"/>
          <w:bCs w:val="1"/>
          <w:sz w:val="24"/>
          <w:szCs w:val="24"/>
        </w:rPr>
        <w:t>VIII. Conclusiones: El Diagnóstico y la Alternativa</w:t>
      </w:r>
    </w:p>
    <w:p xmlns:wp14="http://schemas.microsoft.com/office/word/2010/wordml" w14:paraId="34FF1C98" wp14:textId="77777777">
      <w:pPr>
        <w:spacing w:before="0" w:after="0" w:line="480" w:lineRule="auto"/>
      </w:pPr>
    </w:p>
    <w:p xmlns:wp14="http://schemas.microsoft.com/office/word/2010/wordml" w14:paraId="5E9B169B" wp14:textId="77777777">
      <w:pPr>
        <w:spacing w:before="0" w:after="0" w:line="480" w:lineRule="auto"/>
        <w:ind w:firstLine="720"/>
        <w:jc w:val="both"/>
      </w:pPr>
      <w:r w:rsidRPr="4A2C92AA" w:rsidR="4A2C92AA">
        <w:rPr>
          <w:rFonts w:ascii="Times New Roman" w:hAnsi="Times New Roman" w:eastAsia="Times New Roman" w:cs="Times New Roman"/>
          <w:b w:val="0"/>
          <w:bCs w:val="0"/>
          <w:i w:val="0"/>
          <w:iCs w:val="0"/>
          <w:sz w:val="24"/>
          <w:szCs w:val="24"/>
        </w:rPr>
        <w:t>El análisis comparativo presentado en este ensayo permite formular con mayor precisión la tesis inicial. El petrismo es efectivamente una instancia del populismo de izquierda latinoamericano en el sentido teórico preciso del término: comparte con el chavismo, el evismo, el correísmo y el kirchnerismo una gramática política común que incluye la construcción maniquea del espacio político, la estrategia de movilización identitaria, la economía política redistributiva financiada por los recursos naturales, la presión sobre los medios de comunicación y la tendencia a la concentración ejecutiva del poder.</w:t>
      </w:r>
    </w:p>
    <w:p xmlns:wp14="http://schemas.microsoft.com/office/word/2010/wordml" w14:paraId="6D072C0D" wp14:textId="77777777">
      <w:pPr>
        <w:spacing w:before="0" w:after="0" w:line="480" w:lineRule="auto"/>
      </w:pPr>
    </w:p>
    <w:p xmlns:wp14="http://schemas.microsoft.com/office/word/2010/wordml" w14:paraId="7FB625F9" wp14:textId="77777777">
      <w:pPr>
        <w:spacing w:before="0" w:after="0" w:line="480" w:lineRule="auto"/>
        <w:ind w:firstLine="720"/>
        <w:jc w:val="both"/>
      </w:pPr>
      <w:r w:rsidRPr="4A2C92AA" w:rsidR="4A2C92AA">
        <w:rPr>
          <w:rFonts w:ascii="Times New Roman" w:hAnsi="Times New Roman" w:eastAsia="Times New Roman" w:cs="Times New Roman"/>
          <w:b w:val="0"/>
          <w:bCs w:val="0"/>
          <w:i w:val="0"/>
          <w:iCs w:val="0"/>
          <w:sz w:val="24"/>
          <w:szCs w:val="24"/>
        </w:rPr>
        <w:t>Las diferencias con los casos más extremos —particularmente Venezuela— son reales y significativas. Colombia tiene instituciones más robustas, una clase media más amplia y activa políticamente, y una historia de alternancia democrática que establece normas informales difíciles de ignorar. El petrismo no ha podido avanzar en la concentración del poder con la velocidad que lo hizo el chavismo, y varias de sus iniciativas más radicales han sido bloqueadas por el Congreso, la Corte Constitucional o simplemente por la resistencia social. Esto no invalida el diagnóstico comparativo; lo matiza.</w:t>
      </w:r>
    </w:p>
    <w:p xmlns:wp14="http://schemas.microsoft.com/office/word/2010/wordml" w14:paraId="48A21919" wp14:textId="77777777">
      <w:pPr>
        <w:spacing w:before="0" w:after="0" w:line="480" w:lineRule="auto"/>
      </w:pPr>
    </w:p>
    <w:p xmlns:wp14="http://schemas.microsoft.com/office/word/2010/wordml" w14:paraId="28A4C78A" wp14:textId="77777777">
      <w:pPr>
        <w:spacing w:before="0" w:after="0" w:line="480" w:lineRule="auto"/>
        <w:ind w:firstLine="720"/>
        <w:jc w:val="both"/>
      </w:pPr>
      <w:r w:rsidRPr="4A2C92AA" w:rsidR="4A2C92AA">
        <w:rPr>
          <w:rFonts w:ascii="Times New Roman" w:hAnsi="Times New Roman" w:eastAsia="Times New Roman" w:cs="Times New Roman"/>
          <w:b w:val="0"/>
          <w:bCs w:val="0"/>
          <w:i w:val="0"/>
          <w:iCs w:val="0"/>
          <w:sz w:val="24"/>
          <w:szCs w:val="24"/>
        </w:rPr>
        <w:t>Lo que la comparación hace evidente es que el petrismo opera dentro de la lógica del populismo latinoamericano y que, en la medida en que lo haga sin correcciones institucionales sustantivas, producirá consecuencias similares a las de sus predecesores: deterioro fiscal progresivo, presiones inflacionarias, debilitamiento institucional gradual y, a mediano plazo, una crisis de legitimidad que puede tomar formas impredecibles.</w:t>
      </w:r>
    </w:p>
    <w:p xmlns:wp14="http://schemas.microsoft.com/office/word/2010/wordml" w14:paraId="6BD18F9B" wp14:textId="77777777">
      <w:pPr>
        <w:spacing w:before="0" w:after="0" w:line="480" w:lineRule="auto"/>
      </w:pPr>
    </w:p>
    <w:p xmlns:wp14="http://schemas.microsoft.com/office/word/2010/wordml" w14:paraId="633063EC" wp14:textId="77777777">
      <w:pPr>
        <w:spacing w:before="0" w:after="0" w:line="480" w:lineRule="auto"/>
        <w:ind w:firstLine="720"/>
        <w:jc w:val="both"/>
      </w:pPr>
      <w:r w:rsidRPr="4A2C92AA" w:rsidR="4A2C92AA">
        <w:rPr>
          <w:rFonts w:ascii="Times New Roman" w:hAnsi="Times New Roman" w:eastAsia="Times New Roman" w:cs="Times New Roman"/>
          <w:b w:val="0"/>
          <w:bCs w:val="0"/>
          <w:i w:val="0"/>
          <w:iCs w:val="0"/>
          <w:sz w:val="24"/>
          <w:szCs w:val="24"/>
        </w:rPr>
        <w:t>Para el conservadurismo nacionalista colombiano, este diagnóstico tiene implicaciones que van más allá de la crítica. La oposición al petrismo no puede ser simplemente reactiva —una negación de lo que el petrismo propone— sino propositiva: debe articular una alternativa que tome en serio las demandas legítimas de redistribución, reconocimiento e inclusión que el petrismo ha capitalizado sin ofrecer soluciones estructurales a ninguna de ellas.</w:t>
      </w:r>
    </w:p>
    <w:p xmlns:wp14="http://schemas.microsoft.com/office/word/2010/wordml" w14:paraId="238601FE" wp14:textId="77777777">
      <w:pPr>
        <w:spacing w:before="0" w:after="0" w:line="480" w:lineRule="auto"/>
      </w:pPr>
    </w:p>
    <w:p xmlns:wp14="http://schemas.microsoft.com/office/word/2010/wordml" w:rsidP="4A2C92AA" w14:paraId="4602145B" wp14:textId="4C8EE222">
      <w:pPr>
        <w:spacing w:before="0" w:after="0" w:line="480" w:lineRule="auto"/>
        <w:ind w:firstLine="720"/>
        <w:jc w:val="both"/>
        <w:rPr>
          <w:rFonts w:ascii="Times New Roman" w:hAnsi="Times New Roman" w:eastAsia="Times New Roman" w:cs="Times New Roman"/>
          <w:b w:val="0"/>
          <w:bCs w:val="0"/>
          <w:i w:val="0"/>
          <w:iCs w:val="0"/>
          <w:sz w:val="24"/>
          <w:szCs w:val="24"/>
        </w:rPr>
      </w:pPr>
      <w:r w:rsidRPr="4A2C92AA" w:rsidR="4A2C92AA">
        <w:rPr>
          <w:rFonts w:ascii="Times New Roman" w:hAnsi="Times New Roman" w:eastAsia="Times New Roman" w:cs="Times New Roman"/>
          <w:b w:val="0"/>
          <w:bCs w:val="0"/>
          <w:i w:val="0"/>
          <w:iCs w:val="0"/>
          <w:sz w:val="24"/>
          <w:szCs w:val="24"/>
        </w:rPr>
        <w:t xml:space="preserve">Esta </w:t>
      </w:r>
      <w:r w:rsidRPr="4A2C92AA" w:rsidR="4A2C92AA">
        <w:rPr>
          <w:rFonts w:ascii="Times New Roman" w:hAnsi="Times New Roman" w:eastAsia="Times New Roman" w:cs="Times New Roman"/>
          <w:b w:val="0"/>
          <w:bCs w:val="0"/>
          <w:i w:val="0"/>
          <w:iCs w:val="0"/>
          <w:sz w:val="24"/>
          <w:szCs w:val="24"/>
        </w:rPr>
        <w:t>alternativa</w:t>
      </w:r>
      <w:r w:rsidRPr="4A2C92AA" w:rsidR="4A2C92AA">
        <w:rPr>
          <w:rFonts w:ascii="Times New Roman" w:hAnsi="Times New Roman" w:eastAsia="Times New Roman" w:cs="Times New Roman"/>
          <w:b w:val="0"/>
          <w:bCs w:val="0"/>
          <w:i w:val="0"/>
          <w:iCs w:val="0"/>
          <w:sz w:val="24"/>
          <w:szCs w:val="24"/>
        </w:rPr>
        <w:t xml:space="preserve"> </w:t>
      </w:r>
      <w:r w:rsidRPr="4A2C92AA" w:rsidR="4A2C92AA">
        <w:rPr>
          <w:rFonts w:ascii="Times New Roman" w:hAnsi="Times New Roman" w:eastAsia="Times New Roman" w:cs="Times New Roman"/>
          <w:b w:val="0"/>
          <w:bCs w:val="0"/>
          <w:i w:val="0"/>
          <w:iCs w:val="0"/>
          <w:sz w:val="24"/>
          <w:szCs w:val="24"/>
        </w:rPr>
        <w:t>conservadora</w:t>
      </w:r>
      <w:r w:rsidRPr="4A2C92AA" w:rsidR="4A2C92AA">
        <w:rPr>
          <w:rFonts w:ascii="Times New Roman" w:hAnsi="Times New Roman" w:eastAsia="Times New Roman" w:cs="Times New Roman"/>
          <w:b w:val="0"/>
          <w:bCs w:val="0"/>
          <w:i w:val="0"/>
          <w:iCs w:val="0"/>
          <w:sz w:val="24"/>
          <w:szCs w:val="24"/>
        </w:rPr>
        <w:t xml:space="preserve"> </w:t>
      </w:r>
      <w:r w:rsidRPr="4A2C92AA" w:rsidR="4A2C92AA">
        <w:rPr>
          <w:rFonts w:ascii="Times New Roman" w:hAnsi="Times New Roman" w:eastAsia="Times New Roman" w:cs="Times New Roman"/>
          <w:b w:val="0"/>
          <w:bCs w:val="0"/>
          <w:i w:val="0"/>
          <w:iCs w:val="0"/>
          <w:sz w:val="24"/>
          <w:szCs w:val="24"/>
        </w:rPr>
        <w:t>debe</w:t>
      </w:r>
      <w:r w:rsidRPr="4A2C92AA" w:rsidR="4A2C92AA">
        <w:rPr>
          <w:rFonts w:ascii="Times New Roman" w:hAnsi="Times New Roman" w:eastAsia="Times New Roman" w:cs="Times New Roman"/>
          <w:b w:val="0"/>
          <w:bCs w:val="0"/>
          <w:i w:val="0"/>
          <w:iCs w:val="0"/>
          <w:sz w:val="24"/>
          <w:szCs w:val="24"/>
        </w:rPr>
        <w:t xml:space="preserve"> </w:t>
      </w:r>
      <w:r w:rsidRPr="4A2C92AA" w:rsidR="4A2C92AA">
        <w:rPr>
          <w:rFonts w:ascii="Times New Roman" w:hAnsi="Times New Roman" w:eastAsia="Times New Roman" w:cs="Times New Roman"/>
          <w:b w:val="0"/>
          <w:bCs w:val="0"/>
          <w:i w:val="0"/>
          <w:iCs w:val="0"/>
          <w:sz w:val="24"/>
          <w:szCs w:val="24"/>
        </w:rPr>
        <w:t>fundamentarse</w:t>
      </w:r>
      <w:r w:rsidRPr="4A2C92AA" w:rsidR="4A2C92AA">
        <w:rPr>
          <w:rFonts w:ascii="Times New Roman" w:hAnsi="Times New Roman" w:eastAsia="Times New Roman" w:cs="Times New Roman"/>
          <w:b w:val="0"/>
          <w:bCs w:val="0"/>
          <w:i w:val="0"/>
          <w:iCs w:val="0"/>
          <w:sz w:val="24"/>
          <w:szCs w:val="24"/>
        </w:rPr>
        <w:t xml:space="preserve"> </w:t>
      </w:r>
      <w:r w:rsidRPr="4A2C92AA" w:rsidR="4A2C92AA">
        <w:rPr>
          <w:rFonts w:ascii="Times New Roman" w:hAnsi="Times New Roman" w:eastAsia="Times New Roman" w:cs="Times New Roman"/>
          <w:b w:val="0"/>
          <w:bCs w:val="0"/>
          <w:i w:val="0"/>
          <w:iCs w:val="0"/>
          <w:sz w:val="24"/>
          <w:szCs w:val="24"/>
        </w:rPr>
        <w:t>en</w:t>
      </w:r>
      <w:r w:rsidRPr="4A2C92AA" w:rsidR="4A2C92AA">
        <w:rPr>
          <w:rFonts w:ascii="Times New Roman" w:hAnsi="Times New Roman" w:eastAsia="Times New Roman" w:cs="Times New Roman"/>
          <w:b w:val="0"/>
          <w:bCs w:val="0"/>
          <w:i w:val="0"/>
          <w:iCs w:val="0"/>
          <w:sz w:val="24"/>
          <w:szCs w:val="24"/>
        </w:rPr>
        <w:t xml:space="preserve"> </w:t>
      </w:r>
      <w:r w:rsidRPr="4A2C92AA" w:rsidR="4A2C92AA">
        <w:rPr>
          <w:rFonts w:ascii="Times New Roman" w:hAnsi="Times New Roman" w:eastAsia="Times New Roman" w:cs="Times New Roman"/>
          <w:b w:val="0"/>
          <w:bCs w:val="0"/>
          <w:i w:val="0"/>
          <w:iCs w:val="0"/>
          <w:sz w:val="24"/>
          <w:szCs w:val="24"/>
        </w:rPr>
        <w:t>tres</w:t>
      </w:r>
      <w:r w:rsidRPr="4A2C92AA" w:rsidR="4A2C92AA">
        <w:rPr>
          <w:rFonts w:ascii="Times New Roman" w:hAnsi="Times New Roman" w:eastAsia="Times New Roman" w:cs="Times New Roman"/>
          <w:b w:val="0"/>
          <w:bCs w:val="0"/>
          <w:i w:val="0"/>
          <w:iCs w:val="0"/>
          <w:sz w:val="24"/>
          <w:szCs w:val="24"/>
        </w:rPr>
        <w:t xml:space="preserve"> </w:t>
      </w:r>
      <w:r w:rsidRPr="4A2C92AA" w:rsidR="4A2C92AA">
        <w:rPr>
          <w:rFonts w:ascii="Times New Roman" w:hAnsi="Times New Roman" w:eastAsia="Times New Roman" w:cs="Times New Roman"/>
          <w:b w:val="0"/>
          <w:bCs w:val="0"/>
          <w:i w:val="0"/>
          <w:iCs w:val="0"/>
          <w:sz w:val="24"/>
          <w:szCs w:val="24"/>
        </w:rPr>
        <w:t>ejes</w:t>
      </w:r>
      <w:r w:rsidRPr="4A2C92AA" w:rsidR="4A2C92AA">
        <w:rPr>
          <w:rFonts w:ascii="Times New Roman" w:hAnsi="Times New Roman" w:eastAsia="Times New Roman" w:cs="Times New Roman"/>
          <w:b w:val="0"/>
          <w:bCs w:val="0"/>
          <w:i w:val="0"/>
          <w:iCs w:val="0"/>
          <w:sz w:val="24"/>
          <w:szCs w:val="24"/>
        </w:rPr>
        <w:t xml:space="preserve">. Primero, </w:t>
      </w:r>
      <w:r w:rsidRPr="4A2C92AA" w:rsidR="4A2C92AA">
        <w:rPr>
          <w:rFonts w:ascii="Times New Roman" w:hAnsi="Times New Roman" w:eastAsia="Times New Roman" w:cs="Times New Roman"/>
          <w:b w:val="0"/>
          <w:bCs w:val="0"/>
          <w:i w:val="0"/>
          <w:iCs w:val="0"/>
          <w:sz w:val="24"/>
          <w:szCs w:val="24"/>
        </w:rPr>
        <w:t>una</w:t>
      </w:r>
      <w:r w:rsidRPr="4A2C92AA" w:rsidR="4A2C92AA">
        <w:rPr>
          <w:rFonts w:ascii="Times New Roman" w:hAnsi="Times New Roman" w:eastAsia="Times New Roman" w:cs="Times New Roman"/>
          <w:b w:val="0"/>
          <w:bCs w:val="0"/>
          <w:i w:val="0"/>
          <w:iCs w:val="0"/>
          <w:sz w:val="24"/>
          <w:szCs w:val="24"/>
        </w:rPr>
        <w:t xml:space="preserve"> </w:t>
      </w:r>
      <w:r w:rsidRPr="4A2C92AA" w:rsidR="4A2C92AA">
        <w:rPr>
          <w:rFonts w:ascii="Times New Roman" w:hAnsi="Times New Roman" w:eastAsia="Times New Roman" w:cs="Times New Roman"/>
          <w:b w:val="0"/>
          <w:bCs w:val="0"/>
          <w:i w:val="0"/>
          <w:iCs w:val="0"/>
          <w:sz w:val="24"/>
          <w:szCs w:val="24"/>
        </w:rPr>
        <w:t>institucionalidad</w:t>
      </w:r>
      <w:r w:rsidRPr="4A2C92AA" w:rsidR="4A2C92AA">
        <w:rPr>
          <w:rFonts w:ascii="Times New Roman" w:hAnsi="Times New Roman" w:eastAsia="Times New Roman" w:cs="Times New Roman"/>
          <w:b w:val="0"/>
          <w:bCs w:val="0"/>
          <w:i w:val="0"/>
          <w:iCs w:val="0"/>
          <w:sz w:val="24"/>
          <w:szCs w:val="24"/>
        </w:rPr>
        <w:t xml:space="preserve"> robusta </w:t>
      </w:r>
      <w:r w:rsidRPr="4A2C92AA" w:rsidR="4A2C92AA">
        <w:rPr>
          <w:rFonts w:ascii="Times New Roman" w:hAnsi="Times New Roman" w:eastAsia="Times New Roman" w:cs="Times New Roman"/>
          <w:b w:val="0"/>
          <w:bCs w:val="0"/>
          <w:i w:val="0"/>
          <w:iCs w:val="0"/>
          <w:sz w:val="24"/>
          <w:szCs w:val="24"/>
        </w:rPr>
        <w:t>que</w:t>
      </w:r>
      <w:r w:rsidRPr="4A2C92AA" w:rsidR="4A2C92AA">
        <w:rPr>
          <w:rFonts w:ascii="Times New Roman" w:hAnsi="Times New Roman" w:eastAsia="Times New Roman" w:cs="Times New Roman"/>
          <w:b w:val="0"/>
          <w:bCs w:val="0"/>
          <w:i w:val="0"/>
          <w:iCs w:val="0"/>
          <w:sz w:val="24"/>
          <w:szCs w:val="24"/>
        </w:rPr>
        <w:t xml:space="preserve"> </w:t>
      </w:r>
      <w:r w:rsidRPr="4A2C92AA" w:rsidR="4A2C92AA">
        <w:rPr>
          <w:rFonts w:ascii="Times New Roman" w:hAnsi="Times New Roman" w:eastAsia="Times New Roman" w:cs="Times New Roman"/>
          <w:b w:val="0"/>
          <w:bCs w:val="0"/>
          <w:i w:val="0"/>
          <w:iCs w:val="0"/>
          <w:sz w:val="24"/>
          <w:szCs w:val="24"/>
        </w:rPr>
        <w:t>sea</w:t>
      </w:r>
      <w:r w:rsidRPr="4A2C92AA" w:rsidR="4A2C92AA">
        <w:rPr>
          <w:rFonts w:ascii="Times New Roman" w:hAnsi="Times New Roman" w:eastAsia="Times New Roman" w:cs="Times New Roman"/>
          <w:b w:val="0"/>
          <w:bCs w:val="0"/>
          <w:i w:val="0"/>
          <w:iCs w:val="0"/>
          <w:sz w:val="24"/>
          <w:szCs w:val="24"/>
        </w:rPr>
        <w:t xml:space="preserve"> </w:t>
      </w:r>
      <w:r w:rsidRPr="4A2C92AA" w:rsidR="4A2C92AA">
        <w:rPr>
          <w:rFonts w:ascii="Times New Roman" w:hAnsi="Times New Roman" w:eastAsia="Times New Roman" w:cs="Times New Roman"/>
          <w:b w:val="0"/>
          <w:bCs w:val="0"/>
          <w:i w:val="0"/>
          <w:iCs w:val="0"/>
          <w:sz w:val="24"/>
          <w:szCs w:val="24"/>
        </w:rPr>
        <w:t>capaz</w:t>
      </w:r>
      <w:r w:rsidRPr="4A2C92AA" w:rsidR="4A2C92AA">
        <w:rPr>
          <w:rFonts w:ascii="Times New Roman" w:hAnsi="Times New Roman" w:eastAsia="Times New Roman" w:cs="Times New Roman"/>
          <w:b w:val="0"/>
          <w:bCs w:val="0"/>
          <w:i w:val="0"/>
          <w:iCs w:val="0"/>
          <w:sz w:val="24"/>
          <w:szCs w:val="24"/>
        </w:rPr>
        <w:t xml:space="preserve"> de </w:t>
      </w:r>
      <w:r w:rsidRPr="4A2C92AA" w:rsidR="4A2C92AA">
        <w:rPr>
          <w:rFonts w:ascii="Times New Roman" w:hAnsi="Times New Roman" w:eastAsia="Times New Roman" w:cs="Times New Roman"/>
          <w:b w:val="0"/>
          <w:bCs w:val="0"/>
          <w:i w:val="0"/>
          <w:iCs w:val="0"/>
          <w:sz w:val="24"/>
          <w:szCs w:val="24"/>
        </w:rPr>
        <w:t>procesar</w:t>
      </w:r>
      <w:r w:rsidRPr="4A2C92AA" w:rsidR="4A2C92AA">
        <w:rPr>
          <w:rFonts w:ascii="Times New Roman" w:hAnsi="Times New Roman" w:eastAsia="Times New Roman" w:cs="Times New Roman"/>
          <w:b w:val="0"/>
          <w:bCs w:val="0"/>
          <w:i w:val="0"/>
          <w:iCs w:val="0"/>
          <w:sz w:val="24"/>
          <w:szCs w:val="24"/>
        </w:rPr>
        <w:t xml:space="preserve"> </w:t>
      </w:r>
      <w:r w:rsidRPr="4A2C92AA" w:rsidR="4A2C92AA">
        <w:rPr>
          <w:rFonts w:ascii="Times New Roman" w:hAnsi="Times New Roman" w:eastAsia="Times New Roman" w:cs="Times New Roman"/>
          <w:b w:val="0"/>
          <w:bCs w:val="0"/>
          <w:i w:val="0"/>
          <w:iCs w:val="0"/>
          <w:sz w:val="24"/>
          <w:szCs w:val="24"/>
        </w:rPr>
        <w:t>los</w:t>
      </w:r>
      <w:r w:rsidRPr="4A2C92AA" w:rsidR="4A2C92AA">
        <w:rPr>
          <w:rFonts w:ascii="Times New Roman" w:hAnsi="Times New Roman" w:eastAsia="Times New Roman" w:cs="Times New Roman"/>
          <w:b w:val="0"/>
          <w:bCs w:val="0"/>
          <w:i w:val="0"/>
          <w:iCs w:val="0"/>
          <w:sz w:val="24"/>
          <w:szCs w:val="24"/>
        </w:rPr>
        <w:t xml:space="preserve"> </w:t>
      </w:r>
      <w:r w:rsidRPr="4A2C92AA" w:rsidR="4A2C92AA">
        <w:rPr>
          <w:rFonts w:ascii="Times New Roman" w:hAnsi="Times New Roman" w:eastAsia="Times New Roman" w:cs="Times New Roman"/>
          <w:b w:val="0"/>
          <w:bCs w:val="0"/>
          <w:i w:val="0"/>
          <w:iCs w:val="0"/>
          <w:sz w:val="24"/>
          <w:szCs w:val="24"/>
        </w:rPr>
        <w:t>conflictos</w:t>
      </w:r>
      <w:r w:rsidRPr="4A2C92AA" w:rsidR="4A2C92AA">
        <w:rPr>
          <w:rFonts w:ascii="Times New Roman" w:hAnsi="Times New Roman" w:eastAsia="Times New Roman" w:cs="Times New Roman"/>
          <w:b w:val="0"/>
          <w:bCs w:val="0"/>
          <w:i w:val="0"/>
          <w:iCs w:val="0"/>
          <w:sz w:val="24"/>
          <w:szCs w:val="24"/>
        </w:rPr>
        <w:t xml:space="preserve"> </w:t>
      </w:r>
      <w:r w:rsidRPr="4A2C92AA" w:rsidR="4A2C92AA">
        <w:rPr>
          <w:rFonts w:ascii="Times New Roman" w:hAnsi="Times New Roman" w:eastAsia="Times New Roman" w:cs="Times New Roman"/>
          <w:b w:val="0"/>
          <w:bCs w:val="0"/>
          <w:i w:val="0"/>
          <w:iCs w:val="0"/>
          <w:sz w:val="24"/>
          <w:szCs w:val="24"/>
        </w:rPr>
        <w:t>sociales</w:t>
      </w:r>
      <w:r w:rsidRPr="4A2C92AA" w:rsidR="4A2C92AA">
        <w:rPr>
          <w:rFonts w:ascii="Times New Roman" w:hAnsi="Times New Roman" w:eastAsia="Times New Roman" w:cs="Times New Roman"/>
          <w:b w:val="0"/>
          <w:bCs w:val="0"/>
          <w:i w:val="0"/>
          <w:iCs w:val="0"/>
          <w:sz w:val="24"/>
          <w:szCs w:val="24"/>
        </w:rPr>
        <w:t xml:space="preserve"> sin la </w:t>
      </w:r>
      <w:r w:rsidRPr="4A2C92AA" w:rsidR="4A2C92AA">
        <w:rPr>
          <w:rFonts w:ascii="Times New Roman" w:hAnsi="Times New Roman" w:eastAsia="Times New Roman" w:cs="Times New Roman"/>
          <w:b w:val="0"/>
          <w:bCs w:val="0"/>
          <w:i w:val="0"/>
          <w:iCs w:val="0"/>
          <w:sz w:val="24"/>
          <w:szCs w:val="24"/>
        </w:rPr>
        <w:t>personalización</w:t>
      </w:r>
      <w:r w:rsidRPr="4A2C92AA" w:rsidR="4A2C92AA">
        <w:rPr>
          <w:rFonts w:ascii="Times New Roman" w:hAnsi="Times New Roman" w:eastAsia="Times New Roman" w:cs="Times New Roman"/>
          <w:b w:val="0"/>
          <w:bCs w:val="0"/>
          <w:i w:val="0"/>
          <w:iCs w:val="0"/>
          <w:sz w:val="24"/>
          <w:szCs w:val="24"/>
        </w:rPr>
        <w:t xml:space="preserve"> y la </w:t>
      </w:r>
      <w:r w:rsidRPr="4A2C92AA" w:rsidR="4A2C92AA">
        <w:rPr>
          <w:rFonts w:ascii="Times New Roman" w:hAnsi="Times New Roman" w:eastAsia="Times New Roman" w:cs="Times New Roman"/>
          <w:b w:val="0"/>
          <w:bCs w:val="0"/>
          <w:i w:val="0"/>
          <w:iCs w:val="0"/>
          <w:sz w:val="24"/>
          <w:szCs w:val="24"/>
        </w:rPr>
        <w:t>confrontación</w:t>
      </w:r>
      <w:r w:rsidRPr="4A2C92AA" w:rsidR="4A2C92AA">
        <w:rPr>
          <w:rFonts w:ascii="Times New Roman" w:hAnsi="Times New Roman" w:eastAsia="Times New Roman" w:cs="Times New Roman"/>
          <w:b w:val="0"/>
          <w:bCs w:val="0"/>
          <w:i w:val="0"/>
          <w:iCs w:val="0"/>
          <w:sz w:val="24"/>
          <w:szCs w:val="24"/>
        </w:rPr>
        <w:t xml:space="preserve"> </w:t>
      </w:r>
      <w:r w:rsidRPr="4A2C92AA" w:rsidR="4A2C92AA">
        <w:rPr>
          <w:rFonts w:ascii="Times New Roman" w:hAnsi="Times New Roman" w:eastAsia="Times New Roman" w:cs="Times New Roman"/>
          <w:b w:val="0"/>
          <w:bCs w:val="0"/>
          <w:i w:val="0"/>
          <w:iCs w:val="0"/>
          <w:sz w:val="24"/>
          <w:szCs w:val="24"/>
        </w:rPr>
        <w:t>maniquea</w:t>
      </w:r>
      <w:r w:rsidRPr="4A2C92AA" w:rsidR="4A2C92AA">
        <w:rPr>
          <w:rFonts w:ascii="Times New Roman" w:hAnsi="Times New Roman" w:eastAsia="Times New Roman" w:cs="Times New Roman"/>
          <w:b w:val="0"/>
          <w:bCs w:val="0"/>
          <w:i w:val="0"/>
          <w:iCs w:val="0"/>
          <w:sz w:val="24"/>
          <w:szCs w:val="24"/>
        </w:rPr>
        <w:t xml:space="preserve"> del </w:t>
      </w:r>
      <w:r w:rsidRPr="4A2C92AA" w:rsidR="4A2C92AA">
        <w:rPr>
          <w:rFonts w:ascii="Times New Roman" w:hAnsi="Times New Roman" w:eastAsia="Times New Roman" w:cs="Times New Roman"/>
          <w:b w:val="0"/>
          <w:bCs w:val="0"/>
          <w:i w:val="0"/>
          <w:iCs w:val="0"/>
          <w:sz w:val="24"/>
          <w:szCs w:val="24"/>
        </w:rPr>
        <w:t>populismo</w:t>
      </w:r>
      <w:r w:rsidRPr="4A2C92AA" w:rsidR="4A2C92AA">
        <w:rPr>
          <w:rFonts w:ascii="Times New Roman" w:hAnsi="Times New Roman" w:eastAsia="Times New Roman" w:cs="Times New Roman"/>
          <w:b w:val="0"/>
          <w:bCs w:val="0"/>
          <w:i w:val="0"/>
          <w:iCs w:val="0"/>
          <w:sz w:val="24"/>
          <w:szCs w:val="24"/>
        </w:rPr>
        <w:t xml:space="preserve">: el </w:t>
      </w:r>
      <w:r w:rsidRPr="4A2C92AA" w:rsidR="4A2C92AA">
        <w:rPr>
          <w:rFonts w:ascii="Times New Roman" w:hAnsi="Times New Roman" w:eastAsia="Times New Roman" w:cs="Times New Roman"/>
          <w:b w:val="0"/>
          <w:bCs w:val="0"/>
          <w:i w:val="0"/>
          <w:iCs w:val="0"/>
          <w:sz w:val="24"/>
          <w:szCs w:val="24"/>
        </w:rPr>
        <w:t>constitucionalismo</w:t>
      </w:r>
      <w:r w:rsidRPr="4A2C92AA" w:rsidR="4A2C92AA">
        <w:rPr>
          <w:rFonts w:ascii="Times New Roman" w:hAnsi="Times New Roman" w:eastAsia="Times New Roman" w:cs="Times New Roman"/>
          <w:b w:val="0"/>
          <w:bCs w:val="0"/>
          <w:i w:val="0"/>
          <w:iCs w:val="0"/>
          <w:sz w:val="24"/>
          <w:szCs w:val="24"/>
        </w:rPr>
        <w:t xml:space="preserve"> </w:t>
      </w:r>
      <w:r w:rsidRPr="4A2C92AA" w:rsidR="4A2C92AA">
        <w:rPr>
          <w:rFonts w:ascii="Times New Roman" w:hAnsi="Times New Roman" w:eastAsia="Times New Roman" w:cs="Times New Roman"/>
          <w:b w:val="0"/>
          <w:bCs w:val="0"/>
          <w:i w:val="0"/>
          <w:iCs w:val="0"/>
          <w:sz w:val="24"/>
          <w:szCs w:val="24"/>
        </w:rPr>
        <w:t>burkiano</w:t>
      </w:r>
      <w:r w:rsidRPr="4A2C92AA" w:rsidR="4A2C92AA">
        <w:rPr>
          <w:rFonts w:ascii="Times New Roman" w:hAnsi="Times New Roman" w:eastAsia="Times New Roman" w:cs="Times New Roman"/>
          <w:b w:val="0"/>
          <w:bCs w:val="0"/>
          <w:i w:val="0"/>
          <w:iCs w:val="0"/>
          <w:sz w:val="24"/>
          <w:szCs w:val="24"/>
        </w:rPr>
        <w:t xml:space="preserve"> </w:t>
      </w:r>
      <w:r w:rsidRPr="4A2C92AA" w:rsidR="4A2C92AA">
        <w:rPr>
          <w:rFonts w:ascii="Times New Roman" w:hAnsi="Times New Roman" w:eastAsia="Times New Roman" w:cs="Times New Roman"/>
          <w:b w:val="0"/>
          <w:bCs w:val="0"/>
          <w:i w:val="0"/>
          <w:iCs w:val="0"/>
          <w:sz w:val="24"/>
          <w:szCs w:val="24"/>
        </w:rPr>
        <w:t>como</w:t>
      </w:r>
      <w:r w:rsidRPr="4A2C92AA" w:rsidR="4A2C92AA">
        <w:rPr>
          <w:rFonts w:ascii="Times New Roman" w:hAnsi="Times New Roman" w:eastAsia="Times New Roman" w:cs="Times New Roman"/>
          <w:b w:val="0"/>
          <w:bCs w:val="0"/>
          <w:i w:val="0"/>
          <w:iCs w:val="0"/>
          <w:sz w:val="24"/>
          <w:szCs w:val="24"/>
        </w:rPr>
        <w:t xml:space="preserve"> </w:t>
      </w:r>
      <w:r w:rsidRPr="4A2C92AA" w:rsidR="4A2C92AA">
        <w:rPr>
          <w:rFonts w:ascii="Times New Roman" w:hAnsi="Times New Roman" w:eastAsia="Times New Roman" w:cs="Times New Roman"/>
          <w:b w:val="0"/>
          <w:bCs w:val="0"/>
          <w:i w:val="0"/>
          <w:iCs w:val="0"/>
          <w:sz w:val="24"/>
          <w:szCs w:val="24"/>
        </w:rPr>
        <w:t>método</w:t>
      </w:r>
      <w:r w:rsidRPr="4A2C92AA" w:rsidR="4A2C92AA">
        <w:rPr>
          <w:rFonts w:ascii="Times New Roman" w:hAnsi="Times New Roman" w:eastAsia="Times New Roman" w:cs="Times New Roman"/>
          <w:b w:val="0"/>
          <w:bCs w:val="0"/>
          <w:i w:val="0"/>
          <w:iCs w:val="0"/>
          <w:sz w:val="24"/>
          <w:szCs w:val="24"/>
        </w:rPr>
        <w:t xml:space="preserve">, no </w:t>
      </w:r>
      <w:r w:rsidRPr="4A2C92AA" w:rsidR="4A2C92AA">
        <w:rPr>
          <w:rFonts w:ascii="Times New Roman" w:hAnsi="Times New Roman" w:eastAsia="Times New Roman" w:cs="Times New Roman"/>
          <w:b w:val="0"/>
          <w:bCs w:val="0"/>
          <w:i w:val="0"/>
          <w:iCs w:val="0"/>
          <w:sz w:val="24"/>
          <w:szCs w:val="24"/>
        </w:rPr>
        <w:t>como</w:t>
      </w:r>
      <w:r w:rsidRPr="4A2C92AA" w:rsidR="4A2C92AA">
        <w:rPr>
          <w:rFonts w:ascii="Times New Roman" w:hAnsi="Times New Roman" w:eastAsia="Times New Roman" w:cs="Times New Roman"/>
          <w:b w:val="0"/>
          <w:bCs w:val="0"/>
          <w:i w:val="0"/>
          <w:iCs w:val="0"/>
          <w:sz w:val="24"/>
          <w:szCs w:val="24"/>
        </w:rPr>
        <w:t xml:space="preserve"> </w:t>
      </w:r>
      <w:r w:rsidRPr="4A2C92AA" w:rsidR="4A2C92AA">
        <w:rPr>
          <w:rFonts w:ascii="Times New Roman" w:hAnsi="Times New Roman" w:eastAsia="Times New Roman" w:cs="Times New Roman"/>
          <w:b w:val="0"/>
          <w:bCs w:val="0"/>
          <w:i w:val="0"/>
          <w:iCs w:val="0"/>
          <w:sz w:val="24"/>
          <w:szCs w:val="24"/>
        </w:rPr>
        <w:t>excusa</w:t>
      </w:r>
      <w:r w:rsidRPr="4A2C92AA" w:rsidR="4A2C92AA">
        <w:rPr>
          <w:rFonts w:ascii="Times New Roman" w:hAnsi="Times New Roman" w:eastAsia="Times New Roman" w:cs="Times New Roman"/>
          <w:b w:val="0"/>
          <w:bCs w:val="0"/>
          <w:i w:val="0"/>
          <w:iCs w:val="0"/>
          <w:sz w:val="24"/>
          <w:szCs w:val="24"/>
        </w:rPr>
        <w:t xml:space="preserve"> para </w:t>
      </w:r>
      <w:r w:rsidRPr="4A2C92AA" w:rsidR="4A2C92AA">
        <w:rPr>
          <w:rFonts w:ascii="Times New Roman" w:hAnsi="Times New Roman" w:eastAsia="Times New Roman" w:cs="Times New Roman"/>
          <w:b w:val="0"/>
          <w:bCs w:val="0"/>
          <w:i w:val="0"/>
          <w:iCs w:val="0"/>
          <w:sz w:val="24"/>
          <w:szCs w:val="24"/>
        </w:rPr>
        <w:t>preservar</w:t>
      </w:r>
      <w:r w:rsidRPr="4A2C92AA" w:rsidR="4A2C92AA">
        <w:rPr>
          <w:rFonts w:ascii="Times New Roman" w:hAnsi="Times New Roman" w:eastAsia="Times New Roman" w:cs="Times New Roman"/>
          <w:b w:val="0"/>
          <w:bCs w:val="0"/>
          <w:i w:val="0"/>
          <w:iCs w:val="0"/>
          <w:sz w:val="24"/>
          <w:szCs w:val="24"/>
        </w:rPr>
        <w:t xml:space="preserve"> el </w:t>
      </w:r>
      <w:r w:rsidRPr="4A2C92AA" w:rsidR="4A2C92AA">
        <w:rPr>
          <w:rFonts w:ascii="Times New Roman" w:hAnsi="Times New Roman" w:eastAsia="Times New Roman" w:cs="Times New Roman"/>
          <w:b w:val="0"/>
          <w:bCs w:val="0"/>
          <w:i w:val="0"/>
          <w:iCs w:val="0"/>
          <w:sz w:val="24"/>
          <w:szCs w:val="24"/>
        </w:rPr>
        <w:t>statu</w:t>
      </w:r>
      <w:r w:rsidRPr="4A2C92AA" w:rsidR="4A2C92AA">
        <w:rPr>
          <w:rFonts w:ascii="Times New Roman" w:hAnsi="Times New Roman" w:eastAsia="Times New Roman" w:cs="Times New Roman"/>
          <w:b w:val="0"/>
          <w:bCs w:val="0"/>
          <w:i w:val="0"/>
          <w:iCs w:val="0"/>
          <w:sz w:val="24"/>
          <w:szCs w:val="24"/>
        </w:rPr>
        <w:t xml:space="preserve"> quo. Segundo, </w:t>
      </w:r>
      <w:r w:rsidRPr="4A2C92AA" w:rsidR="4A2C92AA">
        <w:rPr>
          <w:rFonts w:ascii="Times New Roman" w:hAnsi="Times New Roman" w:eastAsia="Times New Roman" w:cs="Times New Roman"/>
          <w:b w:val="0"/>
          <w:bCs w:val="0"/>
          <w:i w:val="0"/>
          <w:iCs w:val="0"/>
          <w:sz w:val="24"/>
          <w:szCs w:val="24"/>
        </w:rPr>
        <w:t>una</w:t>
      </w:r>
      <w:r w:rsidRPr="4A2C92AA" w:rsidR="4A2C92AA">
        <w:rPr>
          <w:rFonts w:ascii="Times New Roman" w:hAnsi="Times New Roman" w:eastAsia="Times New Roman" w:cs="Times New Roman"/>
          <w:b w:val="0"/>
          <w:bCs w:val="0"/>
          <w:i w:val="0"/>
          <w:iCs w:val="0"/>
          <w:sz w:val="24"/>
          <w:szCs w:val="24"/>
        </w:rPr>
        <w:t xml:space="preserve"> </w:t>
      </w:r>
      <w:r w:rsidRPr="4A2C92AA" w:rsidR="4A2C92AA">
        <w:rPr>
          <w:rFonts w:ascii="Times New Roman" w:hAnsi="Times New Roman" w:eastAsia="Times New Roman" w:cs="Times New Roman"/>
          <w:b w:val="0"/>
          <w:bCs w:val="0"/>
          <w:i w:val="0"/>
          <w:iCs w:val="0"/>
          <w:sz w:val="24"/>
          <w:szCs w:val="24"/>
        </w:rPr>
        <w:t>economía</w:t>
      </w:r>
      <w:r w:rsidRPr="4A2C92AA" w:rsidR="4A2C92AA">
        <w:rPr>
          <w:rFonts w:ascii="Times New Roman" w:hAnsi="Times New Roman" w:eastAsia="Times New Roman" w:cs="Times New Roman"/>
          <w:b w:val="0"/>
          <w:bCs w:val="0"/>
          <w:i w:val="0"/>
          <w:iCs w:val="0"/>
          <w:sz w:val="24"/>
          <w:szCs w:val="24"/>
        </w:rPr>
        <w:t xml:space="preserve"> </w:t>
      </w:r>
      <w:r w:rsidRPr="4A2C92AA" w:rsidR="4A2C92AA">
        <w:rPr>
          <w:rFonts w:ascii="Times New Roman" w:hAnsi="Times New Roman" w:eastAsia="Times New Roman" w:cs="Times New Roman"/>
          <w:b w:val="0"/>
          <w:bCs w:val="0"/>
          <w:i w:val="0"/>
          <w:iCs w:val="0"/>
          <w:sz w:val="24"/>
          <w:szCs w:val="24"/>
        </w:rPr>
        <w:t>política</w:t>
      </w:r>
      <w:r w:rsidRPr="4A2C92AA" w:rsidR="4A2C92AA">
        <w:rPr>
          <w:rFonts w:ascii="Times New Roman" w:hAnsi="Times New Roman" w:eastAsia="Times New Roman" w:cs="Times New Roman"/>
          <w:b w:val="0"/>
          <w:bCs w:val="0"/>
          <w:i w:val="0"/>
          <w:iCs w:val="0"/>
          <w:sz w:val="24"/>
          <w:szCs w:val="24"/>
        </w:rPr>
        <w:t xml:space="preserve"> </w:t>
      </w:r>
      <w:r w:rsidRPr="4A2C92AA" w:rsidR="4A2C92AA">
        <w:rPr>
          <w:rFonts w:ascii="Times New Roman" w:hAnsi="Times New Roman" w:eastAsia="Times New Roman" w:cs="Times New Roman"/>
          <w:b w:val="0"/>
          <w:bCs w:val="0"/>
          <w:i w:val="0"/>
          <w:iCs w:val="0"/>
          <w:sz w:val="24"/>
          <w:szCs w:val="24"/>
        </w:rPr>
        <w:t>que</w:t>
      </w:r>
      <w:r w:rsidRPr="4A2C92AA" w:rsidR="4A2C92AA">
        <w:rPr>
          <w:rFonts w:ascii="Times New Roman" w:hAnsi="Times New Roman" w:eastAsia="Times New Roman" w:cs="Times New Roman"/>
          <w:b w:val="0"/>
          <w:bCs w:val="0"/>
          <w:i w:val="0"/>
          <w:iCs w:val="0"/>
          <w:sz w:val="24"/>
          <w:szCs w:val="24"/>
        </w:rPr>
        <w:t xml:space="preserve"> </w:t>
      </w:r>
      <w:r w:rsidRPr="4A2C92AA" w:rsidR="4A2C92AA">
        <w:rPr>
          <w:rFonts w:ascii="Times New Roman" w:hAnsi="Times New Roman" w:eastAsia="Times New Roman" w:cs="Times New Roman"/>
          <w:b w:val="0"/>
          <w:bCs w:val="0"/>
          <w:i w:val="0"/>
          <w:iCs w:val="0"/>
          <w:sz w:val="24"/>
          <w:szCs w:val="24"/>
        </w:rPr>
        <w:t>articule</w:t>
      </w:r>
      <w:r w:rsidRPr="4A2C92AA" w:rsidR="4A2C92AA">
        <w:rPr>
          <w:rFonts w:ascii="Times New Roman" w:hAnsi="Times New Roman" w:eastAsia="Times New Roman" w:cs="Times New Roman"/>
          <w:b w:val="0"/>
          <w:bCs w:val="0"/>
          <w:i w:val="0"/>
          <w:iCs w:val="0"/>
          <w:sz w:val="24"/>
          <w:szCs w:val="24"/>
        </w:rPr>
        <w:t xml:space="preserve"> </w:t>
      </w:r>
      <w:r w:rsidRPr="4A2C92AA" w:rsidR="4A2C92AA">
        <w:rPr>
          <w:rFonts w:ascii="Times New Roman" w:hAnsi="Times New Roman" w:eastAsia="Times New Roman" w:cs="Times New Roman"/>
          <w:b w:val="0"/>
          <w:bCs w:val="0"/>
          <w:i w:val="0"/>
          <w:iCs w:val="0"/>
          <w:sz w:val="24"/>
          <w:szCs w:val="24"/>
        </w:rPr>
        <w:t>crecimiento</w:t>
      </w:r>
      <w:r w:rsidRPr="4A2C92AA" w:rsidR="4A2C92AA">
        <w:rPr>
          <w:rFonts w:ascii="Times New Roman" w:hAnsi="Times New Roman" w:eastAsia="Times New Roman" w:cs="Times New Roman"/>
          <w:b w:val="0"/>
          <w:bCs w:val="0"/>
          <w:i w:val="0"/>
          <w:iCs w:val="0"/>
          <w:sz w:val="24"/>
          <w:szCs w:val="24"/>
        </w:rPr>
        <w:t xml:space="preserve"> con </w:t>
      </w:r>
      <w:r w:rsidRPr="4A2C92AA" w:rsidR="4A2C92AA">
        <w:rPr>
          <w:rFonts w:ascii="Times New Roman" w:hAnsi="Times New Roman" w:eastAsia="Times New Roman" w:cs="Times New Roman"/>
          <w:b w:val="0"/>
          <w:bCs w:val="0"/>
          <w:i w:val="0"/>
          <w:iCs w:val="0"/>
          <w:sz w:val="24"/>
          <w:szCs w:val="24"/>
        </w:rPr>
        <w:t>equidad</w:t>
      </w:r>
      <w:r w:rsidRPr="4A2C92AA" w:rsidR="4A2C92AA">
        <w:rPr>
          <w:rFonts w:ascii="Times New Roman" w:hAnsi="Times New Roman" w:eastAsia="Times New Roman" w:cs="Times New Roman"/>
          <w:b w:val="0"/>
          <w:bCs w:val="0"/>
          <w:i w:val="0"/>
          <w:iCs w:val="0"/>
          <w:sz w:val="24"/>
          <w:szCs w:val="24"/>
        </w:rPr>
        <w:t xml:space="preserve"> sin la </w:t>
      </w:r>
      <w:r w:rsidRPr="4A2C92AA" w:rsidR="4A2C92AA">
        <w:rPr>
          <w:rFonts w:ascii="Times New Roman" w:hAnsi="Times New Roman" w:eastAsia="Times New Roman" w:cs="Times New Roman"/>
          <w:b w:val="0"/>
          <w:bCs w:val="0"/>
          <w:i w:val="0"/>
          <w:iCs w:val="0"/>
          <w:sz w:val="24"/>
          <w:szCs w:val="24"/>
        </w:rPr>
        <w:t>dependencia</w:t>
      </w:r>
      <w:r w:rsidRPr="4A2C92AA" w:rsidR="4A2C92AA">
        <w:rPr>
          <w:rFonts w:ascii="Times New Roman" w:hAnsi="Times New Roman" w:eastAsia="Times New Roman" w:cs="Times New Roman"/>
          <w:b w:val="0"/>
          <w:bCs w:val="0"/>
          <w:i w:val="0"/>
          <w:iCs w:val="0"/>
          <w:sz w:val="24"/>
          <w:szCs w:val="24"/>
        </w:rPr>
        <w:t xml:space="preserve"> </w:t>
      </w:r>
      <w:r w:rsidRPr="4A2C92AA" w:rsidR="4A2C92AA">
        <w:rPr>
          <w:rFonts w:ascii="Times New Roman" w:hAnsi="Times New Roman" w:eastAsia="Times New Roman" w:cs="Times New Roman"/>
          <w:b w:val="0"/>
          <w:bCs w:val="0"/>
          <w:i w:val="0"/>
          <w:iCs w:val="0"/>
          <w:sz w:val="24"/>
          <w:szCs w:val="24"/>
        </w:rPr>
        <w:t>clientelar</w:t>
      </w:r>
      <w:r w:rsidRPr="4A2C92AA" w:rsidR="4A2C92AA">
        <w:rPr>
          <w:rFonts w:ascii="Times New Roman" w:hAnsi="Times New Roman" w:eastAsia="Times New Roman" w:cs="Times New Roman"/>
          <w:b w:val="0"/>
          <w:bCs w:val="0"/>
          <w:i w:val="0"/>
          <w:iCs w:val="0"/>
          <w:sz w:val="24"/>
          <w:szCs w:val="24"/>
        </w:rPr>
        <w:t xml:space="preserve"> de la </w:t>
      </w:r>
      <w:r w:rsidRPr="4A2C92AA" w:rsidR="4A2C92AA">
        <w:rPr>
          <w:rFonts w:ascii="Times New Roman" w:hAnsi="Times New Roman" w:eastAsia="Times New Roman" w:cs="Times New Roman"/>
          <w:b w:val="0"/>
          <w:bCs w:val="0"/>
          <w:i w:val="0"/>
          <w:iCs w:val="0"/>
          <w:sz w:val="24"/>
          <w:szCs w:val="24"/>
        </w:rPr>
        <w:t>transferencia</w:t>
      </w:r>
      <w:r w:rsidRPr="4A2C92AA" w:rsidR="4A2C92AA">
        <w:rPr>
          <w:rFonts w:ascii="Times New Roman" w:hAnsi="Times New Roman" w:eastAsia="Times New Roman" w:cs="Times New Roman"/>
          <w:b w:val="0"/>
          <w:bCs w:val="0"/>
          <w:i w:val="0"/>
          <w:iCs w:val="0"/>
          <w:sz w:val="24"/>
          <w:szCs w:val="24"/>
        </w:rPr>
        <w:t xml:space="preserve"> </w:t>
      </w:r>
      <w:r w:rsidRPr="4A2C92AA" w:rsidR="4A2C92AA">
        <w:rPr>
          <w:rFonts w:ascii="Times New Roman" w:hAnsi="Times New Roman" w:eastAsia="Times New Roman" w:cs="Times New Roman"/>
          <w:b w:val="0"/>
          <w:bCs w:val="0"/>
          <w:i w:val="0"/>
          <w:iCs w:val="0"/>
          <w:sz w:val="24"/>
          <w:szCs w:val="24"/>
        </w:rPr>
        <w:t>directa</w:t>
      </w:r>
      <w:r w:rsidRPr="4A2C92AA" w:rsidR="4A2C92AA">
        <w:rPr>
          <w:rFonts w:ascii="Times New Roman" w:hAnsi="Times New Roman" w:eastAsia="Times New Roman" w:cs="Times New Roman"/>
          <w:b w:val="0"/>
          <w:bCs w:val="0"/>
          <w:i w:val="0"/>
          <w:iCs w:val="0"/>
          <w:sz w:val="24"/>
          <w:szCs w:val="24"/>
        </w:rPr>
        <w:t xml:space="preserve">: </w:t>
      </w:r>
      <w:r w:rsidRPr="4A2C92AA" w:rsidR="4A2C92AA">
        <w:rPr>
          <w:rFonts w:ascii="Times New Roman" w:hAnsi="Times New Roman" w:eastAsia="Times New Roman" w:cs="Times New Roman"/>
          <w:b w:val="0"/>
          <w:bCs w:val="0"/>
          <w:i w:val="0"/>
          <w:iCs w:val="0"/>
          <w:sz w:val="24"/>
          <w:szCs w:val="24"/>
        </w:rPr>
        <w:t>subsidiaridad</w:t>
      </w:r>
      <w:r w:rsidRPr="4A2C92AA" w:rsidR="4A2C92AA">
        <w:rPr>
          <w:rFonts w:ascii="Times New Roman" w:hAnsi="Times New Roman" w:eastAsia="Times New Roman" w:cs="Times New Roman"/>
          <w:b w:val="0"/>
          <w:bCs w:val="0"/>
          <w:i w:val="0"/>
          <w:iCs w:val="0"/>
          <w:sz w:val="24"/>
          <w:szCs w:val="24"/>
        </w:rPr>
        <w:t xml:space="preserve">, </w:t>
      </w:r>
      <w:r w:rsidRPr="4A2C92AA" w:rsidR="4A2C92AA">
        <w:rPr>
          <w:rFonts w:ascii="Times New Roman" w:hAnsi="Times New Roman" w:eastAsia="Times New Roman" w:cs="Times New Roman"/>
          <w:b w:val="0"/>
          <w:bCs w:val="0"/>
          <w:i w:val="0"/>
          <w:iCs w:val="0"/>
          <w:sz w:val="24"/>
          <w:szCs w:val="24"/>
        </w:rPr>
        <w:t>propiedad</w:t>
      </w:r>
      <w:r w:rsidRPr="4A2C92AA" w:rsidR="4A2C92AA">
        <w:rPr>
          <w:rFonts w:ascii="Times New Roman" w:hAnsi="Times New Roman" w:eastAsia="Times New Roman" w:cs="Times New Roman"/>
          <w:b w:val="0"/>
          <w:bCs w:val="0"/>
          <w:i w:val="0"/>
          <w:iCs w:val="0"/>
          <w:sz w:val="24"/>
          <w:szCs w:val="24"/>
        </w:rPr>
        <w:t xml:space="preserve"> </w:t>
      </w:r>
      <w:r w:rsidRPr="4A2C92AA" w:rsidR="4A2C92AA">
        <w:rPr>
          <w:rFonts w:ascii="Times New Roman" w:hAnsi="Times New Roman" w:eastAsia="Times New Roman" w:cs="Times New Roman"/>
          <w:b w:val="0"/>
          <w:bCs w:val="0"/>
          <w:i w:val="0"/>
          <w:iCs w:val="0"/>
          <w:sz w:val="24"/>
          <w:szCs w:val="24"/>
        </w:rPr>
        <w:t>privada</w:t>
      </w:r>
      <w:r w:rsidRPr="4A2C92AA" w:rsidR="4A2C92AA">
        <w:rPr>
          <w:rFonts w:ascii="Times New Roman" w:hAnsi="Times New Roman" w:eastAsia="Times New Roman" w:cs="Times New Roman"/>
          <w:b w:val="0"/>
          <w:bCs w:val="0"/>
          <w:i w:val="0"/>
          <w:iCs w:val="0"/>
          <w:sz w:val="24"/>
          <w:szCs w:val="24"/>
        </w:rPr>
        <w:t xml:space="preserve"> </w:t>
      </w:r>
      <w:r w:rsidRPr="4A2C92AA" w:rsidR="4A2C92AA">
        <w:rPr>
          <w:rFonts w:ascii="Times New Roman" w:hAnsi="Times New Roman" w:eastAsia="Times New Roman" w:cs="Times New Roman"/>
          <w:b w:val="0"/>
          <w:bCs w:val="0"/>
          <w:i w:val="0"/>
          <w:iCs w:val="0"/>
          <w:sz w:val="24"/>
          <w:szCs w:val="24"/>
        </w:rPr>
        <w:t>amplia</w:t>
      </w:r>
      <w:r w:rsidRPr="4A2C92AA" w:rsidR="4A2C92AA">
        <w:rPr>
          <w:rFonts w:ascii="Times New Roman" w:hAnsi="Times New Roman" w:eastAsia="Times New Roman" w:cs="Times New Roman"/>
          <w:b w:val="0"/>
          <w:bCs w:val="0"/>
          <w:i w:val="0"/>
          <w:iCs w:val="0"/>
          <w:sz w:val="24"/>
          <w:szCs w:val="24"/>
        </w:rPr>
        <w:t xml:space="preserve"> y mercados </w:t>
      </w:r>
      <w:r w:rsidRPr="4A2C92AA" w:rsidR="4A2C92AA">
        <w:rPr>
          <w:rFonts w:ascii="Times New Roman" w:hAnsi="Times New Roman" w:eastAsia="Times New Roman" w:cs="Times New Roman"/>
          <w:b w:val="0"/>
          <w:bCs w:val="0"/>
          <w:i w:val="0"/>
          <w:iCs w:val="0"/>
          <w:sz w:val="24"/>
          <w:szCs w:val="24"/>
        </w:rPr>
        <w:t>competitivos</w:t>
      </w:r>
      <w:r w:rsidRPr="4A2C92AA" w:rsidR="4A2C92AA">
        <w:rPr>
          <w:rFonts w:ascii="Times New Roman" w:hAnsi="Times New Roman" w:eastAsia="Times New Roman" w:cs="Times New Roman"/>
          <w:b w:val="0"/>
          <w:bCs w:val="0"/>
          <w:i w:val="0"/>
          <w:iCs w:val="0"/>
          <w:sz w:val="24"/>
          <w:szCs w:val="24"/>
        </w:rPr>
        <w:t xml:space="preserve"> </w:t>
      </w:r>
      <w:r w:rsidRPr="4A2C92AA" w:rsidR="4A2C92AA">
        <w:rPr>
          <w:rFonts w:ascii="Times New Roman" w:hAnsi="Times New Roman" w:eastAsia="Times New Roman" w:cs="Times New Roman"/>
          <w:b w:val="0"/>
          <w:bCs w:val="0"/>
          <w:i w:val="0"/>
          <w:iCs w:val="0"/>
          <w:sz w:val="24"/>
          <w:szCs w:val="24"/>
        </w:rPr>
        <w:t>como</w:t>
      </w:r>
      <w:r w:rsidRPr="4A2C92AA" w:rsidR="4A2C92AA">
        <w:rPr>
          <w:rFonts w:ascii="Times New Roman" w:hAnsi="Times New Roman" w:eastAsia="Times New Roman" w:cs="Times New Roman"/>
          <w:b w:val="0"/>
          <w:bCs w:val="0"/>
          <w:i w:val="0"/>
          <w:iCs w:val="0"/>
          <w:sz w:val="24"/>
          <w:szCs w:val="24"/>
        </w:rPr>
        <w:t xml:space="preserve"> </w:t>
      </w:r>
      <w:r w:rsidRPr="4A2C92AA" w:rsidR="4A2C92AA">
        <w:rPr>
          <w:rFonts w:ascii="Times New Roman" w:hAnsi="Times New Roman" w:eastAsia="Times New Roman" w:cs="Times New Roman"/>
          <w:b w:val="0"/>
          <w:bCs w:val="0"/>
          <w:i w:val="0"/>
          <w:iCs w:val="0"/>
          <w:sz w:val="24"/>
          <w:szCs w:val="24"/>
        </w:rPr>
        <w:t>alternativa</w:t>
      </w:r>
      <w:r w:rsidRPr="4A2C92AA" w:rsidR="4A2C92AA">
        <w:rPr>
          <w:rFonts w:ascii="Times New Roman" w:hAnsi="Times New Roman" w:eastAsia="Times New Roman" w:cs="Times New Roman"/>
          <w:b w:val="0"/>
          <w:bCs w:val="0"/>
          <w:i w:val="0"/>
          <w:iCs w:val="0"/>
          <w:sz w:val="24"/>
          <w:szCs w:val="24"/>
        </w:rPr>
        <w:t xml:space="preserve"> tanto al </w:t>
      </w:r>
      <w:r w:rsidRPr="4A2C92AA" w:rsidR="4A2C92AA">
        <w:rPr>
          <w:rFonts w:ascii="Times New Roman" w:hAnsi="Times New Roman" w:eastAsia="Times New Roman" w:cs="Times New Roman"/>
          <w:b w:val="0"/>
          <w:bCs w:val="0"/>
          <w:i w:val="0"/>
          <w:iCs w:val="0"/>
          <w:sz w:val="24"/>
          <w:szCs w:val="24"/>
        </w:rPr>
        <w:t>neoliberalismo</w:t>
      </w:r>
      <w:r w:rsidRPr="4A2C92AA" w:rsidR="4A2C92AA">
        <w:rPr>
          <w:rFonts w:ascii="Times New Roman" w:hAnsi="Times New Roman" w:eastAsia="Times New Roman" w:cs="Times New Roman"/>
          <w:b w:val="0"/>
          <w:bCs w:val="0"/>
          <w:i w:val="0"/>
          <w:iCs w:val="0"/>
          <w:sz w:val="24"/>
          <w:szCs w:val="24"/>
        </w:rPr>
        <w:t xml:space="preserve"> de élites </w:t>
      </w:r>
      <w:r w:rsidRPr="4A2C92AA" w:rsidR="4A2C92AA">
        <w:rPr>
          <w:rFonts w:ascii="Times New Roman" w:hAnsi="Times New Roman" w:eastAsia="Times New Roman" w:cs="Times New Roman"/>
          <w:b w:val="0"/>
          <w:bCs w:val="0"/>
          <w:i w:val="0"/>
          <w:iCs w:val="0"/>
          <w:sz w:val="24"/>
          <w:szCs w:val="24"/>
        </w:rPr>
        <w:t>como</w:t>
      </w:r>
      <w:r w:rsidRPr="4A2C92AA" w:rsidR="4A2C92AA">
        <w:rPr>
          <w:rFonts w:ascii="Times New Roman" w:hAnsi="Times New Roman" w:eastAsia="Times New Roman" w:cs="Times New Roman"/>
          <w:b w:val="0"/>
          <w:bCs w:val="0"/>
          <w:i w:val="0"/>
          <w:iCs w:val="0"/>
          <w:sz w:val="24"/>
          <w:szCs w:val="24"/>
        </w:rPr>
        <w:t xml:space="preserve"> al </w:t>
      </w:r>
      <w:r w:rsidRPr="4A2C92AA" w:rsidR="4A2C92AA">
        <w:rPr>
          <w:rFonts w:ascii="Times New Roman" w:hAnsi="Times New Roman" w:eastAsia="Times New Roman" w:cs="Times New Roman"/>
          <w:b w:val="0"/>
          <w:bCs w:val="0"/>
          <w:i w:val="0"/>
          <w:iCs w:val="0"/>
          <w:sz w:val="24"/>
          <w:szCs w:val="24"/>
        </w:rPr>
        <w:t>estatismo</w:t>
      </w:r>
      <w:r w:rsidRPr="4A2C92AA" w:rsidR="4A2C92AA">
        <w:rPr>
          <w:rFonts w:ascii="Times New Roman" w:hAnsi="Times New Roman" w:eastAsia="Times New Roman" w:cs="Times New Roman"/>
          <w:b w:val="0"/>
          <w:bCs w:val="0"/>
          <w:i w:val="0"/>
          <w:iCs w:val="0"/>
          <w:sz w:val="24"/>
          <w:szCs w:val="24"/>
        </w:rPr>
        <w:t xml:space="preserve"> </w:t>
      </w:r>
      <w:r w:rsidRPr="4A2C92AA" w:rsidR="4A2C92AA">
        <w:rPr>
          <w:rFonts w:ascii="Times New Roman" w:hAnsi="Times New Roman" w:eastAsia="Times New Roman" w:cs="Times New Roman"/>
          <w:b w:val="0"/>
          <w:bCs w:val="0"/>
          <w:i w:val="0"/>
          <w:iCs w:val="0"/>
          <w:sz w:val="24"/>
          <w:szCs w:val="24"/>
        </w:rPr>
        <w:t>redistributivo</w:t>
      </w:r>
      <w:r w:rsidRPr="4A2C92AA" w:rsidR="4A2C92AA">
        <w:rPr>
          <w:rFonts w:ascii="Times New Roman" w:hAnsi="Times New Roman" w:eastAsia="Times New Roman" w:cs="Times New Roman"/>
          <w:b w:val="0"/>
          <w:bCs w:val="0"/>
          <w:i w:val="0"/>
          <w:iCs w:val="0"/>
          <w:sz w:val="24"/>
          <w:szCs w:val="24"/>
        </w:rPr>
        <w:t xml:space="preserve">. Tercero, </w:t>
      </w:r>
      <w:r w:rsidRPr="4A2C92AA" w:rsidR="4A2C92AA">
        <w:rPr>
          <w:rFonts w:ascii="Times New Roman" w:hAnsi="Times New Roman" w:eastAsia="Times New Roman" w:cs="Times New Roman"/>
          <w:b w:val="0"/>
          <w:bCs w:val="0"/>
          <w:i w:val="0"/>
          <w:iCs w:val="0"/>
          <w:sz w:val="24"/>
          <w:szCs w:val="24"/>
        </w:rPr>
        <w:t>una</w:t>
      </w:r>
      <w:r w:rsidRPr="4A2C92AA" w:rsidR="4A2C92AA">
        <w:rPr>
          <w:rFonts w:ascii="Times New Roman" w:hAnsi="Times New Roman" w:eastAsia="Times New Roman" w:cs="Times New Roman"/>
          <w:b w:val="0"/>
          <w:bCs w:val="0"/>
          <w:i w:val="0"/>
          <w:iCs w:val="0"/>
          <w:sz w:val="24"/>
          <w:szCs w:val="24"/>
        </w:rPr>
        <w:t xml:space="preserve"> </w:t>
      </w:r>
      <w:r w:rsidRPr="4A2C92AA" w:rsidR="4A2C92AA">
        <w:rPr>
          <w:rFonts w:ascii="Times New Roman" w:hAnsi="Times New Roman" w:eastAsia="Times New Roman" w:cs="Times New Roman"/>
          <w:b w:val="0"/>
          <w:bCs w:val="0"/>
          <w:i w:val="0"/>
          <w:iCs w:val="0"/>
          <w:sz w:val="24"/>
          <w:szCs w:val="24"/>
        </w:rPr>
        <w:t>geopolítica</w:t>
      </w:r>
      <w:r w:rsidRPr="4A2C92AA" w:rsidR="4A2C92AA">
        <w:rPr>
          <w:rFonts w:ascii="Times New Roman" w:hAnsi="Times New Roman" w:eastAsia="Times New Roman" w:cs="Times New Roman"/>
          <w:b w:val="0"/>
          <w:bCs w:val="0"/>
          <w:i w:val="0"/>
          <w:iCs w:val="0"/>
          <w:sz w:val="24"/>
          <w:szCs w:val="24"/>
        </w:rPr>
        <w:t xml:space="preserve"> </w:t>
      </w:r>
      <w:r w:rsidRPr="4A2C92AA" w:rsidR="4A2C92AA">
        <w:rPr>
          <w:rFonts w:ascii="Times New Roman" w:hAnsi="Times New Roman" w:eastAsia="Times New Roman" w:cs="Times New Roman"/>
          <w:b w:val="0"/>
          <w:bCs w:val="0"/>
          <w:i w:val="0"/>
          <w:iCs w:val="0"/>
          <w:sz w:val="24"/>
          <w:szCs w:val="24"/>
        </w:rPr>
        <w:t>que</w:t>
      </w:r>
      <w:r w:rsidRPr="4A2C92AA" w:rsidR="4A2C92AA">
        <w:rPr>
          <w:rFonts w:ascii="Times New Roman" w:hAnsi="Times New Roman" w:eastAsia="Times New Roman" w:cs="Times New Roman"/>
          <w:b w:val="0"/>
          <w:bCs w:val="0"/>
          <w:i w:val="0"/>
          <w:iCs w:val="0"/>
          <w:sz w:val="24"/>
          <w:szCs w:val="24"/>
        </w:rPr>
        <w:t xml:space="preserve"> </w:t>
      </w:r>
      <w:r w:rsidRPr="4A2C92AA" w:rsidR="4A2C92AA">
        <w:rPr>
          <w:rFonts w:ascii="Times New Roman" w:hAnsi="Times New Roman" w:eastAsia="Times New Roman" w:cs="Times New Roman"/>
          <w:b w:val="0"/>
          <w:bCs w:val="0"/>
          <w:i w:val="0"/>
          <w:iCs w:val="0"/>
          <w:sz w:val="24"/>
          <w:szCs w:val="24"/>
        </w:rPr>
        <w:t>inserte</w:t>
      </w:r>
      <w:r w:rsidRPr="4A2C92AA" w:rsidR="4A2C92AA">
        <w:rPr>
          <w:rFonts w:ascii="Times New Roman" w:hAnsi="Times New Roman" w:eastAsia="Times New Roman" w:cs="Times New Roman"/>
          <w:b w:val="0"/>
          <w:bCs w:val="0"/>
          <w:i w:val="0"/>
          <w:iCs w:val="0"/>
          <w:sz w:val="24"/>
          <w:szCs w:val="24"/>
        </w:rPr>
        <w:t xml:space="preserve"> a Colombia </w:t>
      </w:r>
      <w:r w:rsidRPr="4A2C92AA" w:rsidR="4A2C92AA">
        <w:rPr>
          <w:rFonts w:ascii="Times New Roman" w:hAnsi="Times New Roman" w:eastAsia="Times New Roman" w:cs="Times New Roman"/>
          <w:b w:val="0"/>
          <w:bCs w:val="0"/>
          <w:i w:val="0"/>
          <w:iCs w:val="0"/>
          <w:sz w:val="24"/>
          <w:szCs w:val="24"/>
        </w:rPr>
        <w:t>en</w:t>
      </w:r>
      <w:r w:rsidRPr="4A2C92AA" w:rsidR="4A2C92AA">
        <w:rPr>
          <w:rFonts w:ascii="Times New Roman" w:hAnsi="Times New Roman" w:eastAsia="Times New Roman" w:cs="Times New Roman"/>
          <w:b w:val="0"/>
          <w:bCs w:val="0"/>
          <w:i w:val="0"/>
          <w:iCs w:val="0"/>
          <w:sz w:val="24"/>
          <w:szCs w:val="24"/>
        </w:rPr>
        <w:t xml:space="preserve"> el </w:t>
      </w:r>
      <w:r w:rsidRPr="4A2C92AA" w:rsidR="4A2C92AA">
        <w:rPr>
          <w:rFonts w:ascii="Times New Roman" w:hAnsi="Times New Roman" w:eastAsia="Times New Roman" w:cs="Times New Roman"/>
          <w:b w:val="0"/>
          <w:bCs w:val="0"/>
          <w:i w:val="0"/>
          <w:iCs w:val="0"/>
          <w:sz w:val="24"/>
          <w:szCs w:val="24"/>
        </w:rPr>
        <w:t>mundo</w:t>
      </w:r>
      <w:r w:rsidRPr="4A2C92AA" w:rsidR="4A2C92AA">
        <w:rPr>
          <w:rFonts w:ascii="Times New Roman" w:hAnsi="Times New Roman" w:eastAsia="Times New Roman" w:cs="Times New Roman"/>
          <w:b w:val="0"/>
          <w:bCs w:val="0"/>
          <w:i w:val="0"/>
          <w:iCs w:val="0"/>
          <w:sz w:val="24"/>
          <w:szCs w:val="24"/>
        </w:rPr>
        <w:t xml:space="preserve"> occidental </w:t>
      </w:r>
      <w:r w:rsidRPr="4A2C92AA" w:rsidR="4A2C92AA">
        <w:rPr>
          <w:rFonts w:ascii="Times New Roman" w:hAnsi="Times New Roman" w:eastAsia="Times New Roman" w:cs="Times New Roman"/>
          <w:b w:val="0"/>
          <w:bCs w:val="0"/>
          <w:i w:val="0"/>
          <w:iCs w:val="0"/>
          <w:sz w:val="24"/>
          <w:szCs w:val="24"/>
        </w:rPr>
        <w:t>como</w:t>
      </w:r>
      <w:r w:rsidRPr="4A2C92AA" w:rsidR="4A2C92AA">
        <w:rPr>
          <w:rFonts w:ascii="Times New Roman" w:hAnsi="Times New Roman" w:eastAsia="Times New Roman" w:cs="Times New Roman"/>
          <w:b w:val="0"/>
          <w:bCs w:val="0"/>
          <w:i w:val="0"/>
          <w:iCs w:val="0"/>
          <w:sz w:val="24"/>
          <w:szCs w:val="24"/>
        </w:rPr>
        <w:t xml:space="preserve"> </w:t>
      </w:r>
      <w:r w:rsidRPr="4A2C92AA" w:rsidR="4A2C92AA">
        <w:rPr>
          <w:rFonts w:ascii="Times New Roman" w:hAnsi="Times New Roman" w:eastAsia="Times New Roman" w:cs="Times New Roman"/>
          <w:b w:val="0"/>
          <w:bCs w:val="0"/>
          <w:i w:val="0"/>
          <w:iCs w:val="0"/>
          <w:sz w:val="24"/>
          <w:szCs w:val="24"/>
        </w:rPr>
        <w:t>nación</w:t>
      </w:r>
      <w:r w:rsidRPr="4A2C92AA" w:rsidR="4A2C92AA">
        <w:rPr>
          <w:rFonts w:ascii="Times New Roman" w:hAnsi="Times New Roman" w:eastAsia="Times New Roman" w:cs="Times New Roman"/>
          <w:b w:val="0"/>
          <w:bCs w:val="0"/>
          <w:i w:val="0"/>
          <w:iCs w:val="0"/>
          <w:sz w:val="24"/>
          <w:szCs w:val="24"/>
        </w:rPr>
        <w:t xml:space="preserve"> </w:t>
      </w:r>
      <w:r w:rsidRPr="4A2C92AA" w:rsidR="4A2C92AA">
        <w:rPr>
          <w:rFonts w:ascii="Times New Roman" w:hAnsi="Times New Roman" w:eastAsia="Times New Roman" w:cs="Times New Roman"/>
          <w:b w:val="0"/>
          <w:bCs w:val="0"/>
          <w:i w:val="0"/>
          <w:iCs w:val="0"/>
          <w:sz w:val="24"/>
          <w:szCs w:val="24"/>
        </w:rPr>
        <w:t>soberana</w:t>
      </w:r>
      <w:r w:rsidRPr="4A2C92AA" w:rsidR="4A2C92AA">
        <w:rPr>
          <w:rFonts w:ascii="Times New Roman" w:hAnsi="Times New Roman" w:eastAsia="Times New Roman" w:cs="Times New Roman"/>
          <w:b w:val="0"/>
          <w:bCs w:val="0"/>
          <w:i w:val="0"/>
          <w:iCs w:val="0"/>
          <w:sz w:val="24"/>
          <w:szCs w:val="24"/>
        </w:rPr>
        <w:t xml:space="preserve"> con </w:t>
      </w:r>
      <w:r w:rsidRPr="4A2C92AA" w:rsidR="4A2C92AA">
        <w:rPr>
          <w:rFonts w:ascii="Times New Roman" w:hAnsi="Times New Roman" w:eastAsia="Times New Roman" w:cs="Times New Roman"/>
          <w:b w:val="0"/>
          <w:bCs w:val="0"/>
          <w:i w:val="0"/>
          <w:iCs w:val="0"/>
          <w:sz w:val="24"/>
          <w:szCs w:val="24"/>
        </w:rPr>
        <w:t>identidad</w:t>
      </w:r>
      <w:r w:rsidRPr="4A2C92AA" w:rsidR="4A2C92AA">
        <w:rPr>
          <w:rFonts w:ascii="Times New Roman" w:hAnsi="Times New Roman" w:eastAsia="Times New Roman" w:cs="Times New Roman"/>
          <w:b w:val="0"/>
          <w:bCs w:val="0"/>
          <w:i w:val="0"/>
          <w:iCs w:val="0"/>
          <w:sz w:val="24"/>
          <w:szCs w:val="24"/>
        </w:rPr>
        <w:t xml:space="preserve"> propia</w:t>
      </w:r>
      <w:r w:rsidRPr="4A2C92AA" w:rsidR="338C6F97">
        <w:rPr>
          <w:rFonts w:ascii="Times New Roman" w:hAnsi="Times New Roman" w:eastAsia="Times New Roman" w:cs="Times New Roman"/>
          <w:b w:val="0"/>
          <w:bCs w:val="0"/>
          <w:i w:val="0"/>
          <w:iCs w:val="0"/>
          <w:sz w:val="24"/>
          <w:szCs w:val="24"/>
        </w:rPr>
        <w:t>.</w:t>
      </w:r>
    </w:p>
    <w:p xmlns:wp14="http://schemas.microsoft.com/office/word/2010/wordml" w14:paraId="0F3CABC7" wp14:textId="77777777">
      <w:pPr>
        <w:spacing w:before="0" w:after="0" w:line="480" w:lineRule="auto"/>
      </w:pPr>
    </w:p>
    <w:p xmlns:wp14="http://schemas.microsoft.com/office/word/2010/wordml" w14:paraId="5222C1C0" wp14:textId="77777777">
      <w:pPr>
        <w:spacing w:before="0" w:after="0" w:line="480" w:lineRule="auto"/>
        <w:ind w:firstLine="720"/>
        <w:jc w:val="both"/>
      </w:pPr>
      <w:r w:rsidRPr="4A2C92AA" w:rsidR="4A2C92AA">
        <w:rPr>
          <w:rFonts w:ascii="Times New Roman" w:hAnsi="Times New Roman" w:eastAsia="Times New Roman" w:cs="Times New Roman"/>
          <w:b w:val="0"/>
          <w:bCs w:val="0"/>
          <w:i w:val="0"/>
          <w:iCs w:val="0"/>
          <w:sz w:val="24"/>
          <w:szCs w:val="24"/>
        </w:rPr>
        <w:t>El populismo de izquierda latinoamericano ha demostrado en cuatro décadas de experiencias que sabe diagnosticar el malestar social con precisión pero que propone soluciones que lo profundizan. La tarea del conservadurismo colombiano es demostrar que el diagnóstico correcto puede articularse con soluciones que sí funcionen. Este ensayo es una contribución a ese esfuerzo.</w:t>
      </w:r>
    </w:p>
    <w:p xmlns:wp14="http://schemas.microsoft.com/office/word/2010/wordml" w14:paraId="5B08B5D1" wp14:textId="77777777">
      <w:r>
        <w:br w:type="page"/>
      </w:r>
    </w:p>
    <w:p xmlns:wp14="http://schemas.microsoft.com/office/word/2010/wordml" w14:paraId="4E1F9A16" wp14:textId="77777777">
      <w:pPr>
        <w:spacing w:before="0" w:after="0" w:line="480" w:lineRule="auto"/>
        <w:jc w:val="center"/>
      </w:pPr>
      <w:r w:rsidRPr="4A2C92AA" w:rsidR="4A2C92AA">
        <w:rPr>
          <w:rFonts w:ascii="Times New Roman" w:hAnsi="Times New Roman" w:eastAsia="Times New Roman" w:cs="Times New Roman"/>
          <w:b w:val="1"/>
          <w:bCs w:val="1"/>
          <w:sz w:val="24"/>
          <w:szCs w:val="24"/>
        </w:rPr>
        <w:t>Referencias</w:t>
      </w:r>
    </w:p>
    <w:p xmlns:wp14="http://schemas.microsoft.com/office/word/2010/wordml" w14:paraId="16DEB4AB" wp14:textId="77777777">
      <w:pPr>
        <w:spacing w:before="0" w:after="0" w:line="480" w:lineRule="auto"/>
      </w:pPr>
    </w:p>
    <w:p xmlns:wp14="http://schemas.microsoft.com/office/word/2010/wordml" w14:paraId="13DE4EE6" wp14:textId="77777777">
      <w:pPr>
        <w:spacing w:before="0" w:after="0" w:line="480" w:lineRule="auto"/>
        <w:ind w:left="720" w:hanging="720"/>
        <w:jc w:val="both"/>
      </w:pPr>
      <w:r w:rsidRPr="4A2C92AA" w:rsidR="4A2C92AA">
        <w:rPr>
          <w:rFonts w:ascii="Times New Roman" w:hAnsi="Times New Roman" w:eastAsia="Times New Roman" w:cs="Times New Roman"/>
          <w:sz w:val="24"/>
          <w:szCs w:val="24"/>
        </w:rPr>
        <w:t>Agencia Nacional de Hidrocarburos. (2024). Boletín estadístico de producción de hidrocarburos: Informe anual 2024. ANH.</w:t>
      </w:r>
    </w:p>
    <w:p xmlns:wp14="http://schemas.microsoft.com/office/word/2010/wordml" w14:paraId="0AD9C6F4" wp14:textId="77777777">
      <w:pPr>
        <w:spacing w:before="0" w:after="0" w:line="480" w:lineRule="auto"/>
      </w:pPr>
    </w:p>
    <w:p xmlns:wp14="http://schemas.microsoft.com/office/word/2010/wordml" w14:paraId="7B3ED8CA" wp14:textId="77777777">
      <w:pPr>
        <w:spacing w:before="0" w:after="0" w:line="480" w:lineRule="auto"/>
        <w:ind w:left="720" w:hanging="720"/>
        <w:jc w:val="both"/>
      </w:pPr>
      <w:r w:rsidRPr="4A2C92AA" w:rsidR="4A2C92AA">
        <w:rPr>
          <w:rFonts w:ascii="Times New Roman" w:hAnsi="Times New Roman" w:eastAsia="Times New Roman" w:cs="Times New Roman"/>
          <w:sz w:val="24"/>
          <w:szCs w:val="24"/>
        </w:rPr>
        <w:t>Alto Comisionado de las Naciones Unidas para los Refugiados. (2023). Situación de Venezuela: Datos de refugiados y migrantes. ACNUR. https://www.acnur.org</w:t>
      </w:r>
    </w:p>
    <w:p xmlns:wp14="http://schemas.microsoft.com/office/word/2010/wordml" w14:paraId="4B1F511A" wp14:textId="77777777">
      <w:pPr>
        <w:spacing w:before="0" w:after="0" w:line="480" w:lineRule="auto"/>
      </w:pPr>
    </w:p>
    <w:p xmlns:wp14="http://schemas.microsoft.com/office/word/2010/wordml" w14:paraId="512778FD" wp14:textId="77777777">
      <w:pPr>
        <w:spacing w:before="0" w:after="0" w:line="480" w:lineRule="auto"/>
        <w:ind w:left="720" w:hanging="720"/>
        <w:jc w:val="both"/>
      </w:pPr>
      <w:r w:rsidRPr="4A2C92AA" w:rsidR="4A2C92AA">
        <w:rPr>
          <w:rFonts w:ascii="Times New Roman" w:hAnsi="Times New Roman" w:eastAsia="Times New Roman" w:cs="Times New Roman"/>
          <w:sz w:val="24"/>
          <w:szCs w:val="24"/>
        </w:rPr>
        <w:t>Banco de la República de Colombia. (2024). Informe de política monetaria: Inflación y crecimiento económico 2022-2024. Banco de la República.</w:t>
      </w:r>
    </w:p>
    <w:p xmlns:wp14="http://schemas.microsoft.com/office/word/2010/wordml" w14:paraId="65F9C3DC" wp14:textId="77777777">
      <w:pPr>
        <w:spacing w:before="0" w:after="0" w:line="480" w:lineRule="auto"/>
      </w:pPr>
    </w:p>
    <w:p xmlns:wp14="http://schemas.microsoft.com/office/word/2010/wordml" w14:paraId="526D9C90" wp14:textId="77777777">
      <w:pPr>
        <w:spacing w:before="0" w:after="0" w:line="480" w:lineRule="auto"/>
        <w:ind w:left="720" w:hanging="720"/>
        <w:jc w:val="both"/>
      </w:pPr>
      <w:r w:rsidRPr="4A2C92AA" w:rsidR="4A2C92AA">
        <w:rPr>
          <w:rFonts w:ascii="Times New Roman" w:hAnsi="Times New Roman" w:eastAsia="Times New Roman" w:cs="Times New Roman"/>
          <w:sz w:val="24"/>
          <w:szCs w:val="24"/>
        </w:rPr>
        <w:t>Banco Mundial. (2022). Venezuela: The human costs of a man-made crisis. World Bank Group.</w:t>
      </w:r>
    </w:p>
    <w:p xmlns:wp14="http://schemas.microsoft.com/office/word/2010/wordml" w14:paraId="5023141B" wp14:textId="77777777">
      <w:pPr>
        <w:spacing w:before="0" w:after="0" w:line="480" w:lineRule="auto"/>
      </w:pPr>
    </w:p>
    <w:p xmlns:wp14="http://schemas.microsoft.com/office/word/2010/wordml" w14:paraId="0DF58108" wp14:textId="77777777">
      <w:pPr>
        <w:spacing w:before="0" w:after="0" w:line="480" w:lineRule="auto"/>
        <w:ind w:left="720" w:hanging="720"/>
        <w:jc w:val="both"/>
      </w:pPr>
      <w:r w:rsidRPr="4A2C92AA" w:rsidR="4A2C92AA">
        <w:rPr>
          <w:rFonts w:ascii="Times New Roman" w:hAnsi="Times New Roman" w:eastAsia="Times New Roman" w:cs="Times New Roman"/>
          <w:sz w:val="24"/>
          <w:szCs w:val="24"/>
        </w:rPr>
        <w:t>Basabe-Serrano, S., y Martínez, J. (2014). Ecuador: Cada vez menos democracia, cada vez más autoritarismo... con elecciones. Revista de Ciencia Política, 34(1), 145-170.</w:t>
      </w:r>
    </w:p>
    <w:p xmlns:wp14="http://schemas.microsoft.com/office/word/2010/wordml" w14:paraId="1F3B1409" wp14:textId="77777777">
      <w:pPr>
        <w:spacing w:before="0" w:after="0" w:line="480" w:lineRule="auto"/>
      </w:pPr>
    </w:p>
    <w:p xmlns:wp14="http://schemas.microsoft.com/office/word/2010/wordml" w14:paraId="5FF2F6D0" wp14:textId="77777777">
      <w:pPr>
        <w:spacing w:before="0" w:after="0" w:line="480" w:lineRule="auto"/>
        <w:ind w:left="720" w:hanging="720"/>
        <w:jc w:val="both"/>
      </w:pPr>
      <w:r w:rsidRPr="4A2C92AA" w:rsidR="4A2C92AA">
        <w:rPr>
          <w:rFonts w:ascii="Times New Roman" w:hAnsi="Times New Roman" w:eastAsia="Times New Roman" w:cs="Times New Roman"/>
          <w:sz w:val="24"/>
          <w:szCs w:val="24"/>
        </w:rPr>
        <w:t>Comisión Económica para América Latina y el Caribe. (2020). Panorama social de América Latina 2020. CEPAL.</w:t>
      </w:r>
    </w:p>
    <w:p xmlns:wp14="http://schemas.microsoft.com/office/word/2010/wordml" w14:paraId="562C75D1" wp14:textId="77777777">
      <w:pPr>
        <w:spacing w:before="0" w:after="0" w:line="480" w:lineRule="auto"/>
      </w:pPr>
    </w:p>
    <w:p xmlns:wp14="http://schemas.microsoft.com/office/word/2010/wordml" w14:paraId="516AAA3A" wp14:textId="77777777">
      <w:pPr>
        <w:spacing w:before="0" w:after="0" w:line="480" w:lineRule="auto"/>
        <w:ind w:left="720" w:hanging="720"/>
        <w:jc w:val="both"/>
      </w:pPr>
      <w:r w:rsidRPr="4A2C92AA" w:rsidR="4A2C92AA">
        <w:rPr>
          <w:rFonts w:ascii="Times New Roman" w:hAnsi="Times New Roman" w:eastAsia="Times New Roman" w:cs="Times New Roman"/>
          <w:sz w:val="24"/>
          <w:szCs w:val="24"/>
        </w:rPr>
        <w:t>Corrales, J., y Penfold, M. (2011). Dragon in the tropics: Hugo Chávez and the political economy of revolution in Venezuela. Brookings Institution Press.</w:t>
      </w:r>
    </w:p>
    <w:p xmlns:wp14="http://schemas.microsoft.com/office/word/2010/wordml" w14:paraId="664355AD" wp14:textId="77777777">
      <w:pPr>
        <w:spacing w:before="0" w:after="0" w:line="480" w:lineRule="auto"/>
      </w:pPr>
    </w:p>
    <w:p xmlns:wp14="http://schemas.microsoft.com/office/word/2010/wordml" w14:paraId="20A3A17A" wp14:textId="77777777">
      <w:pPr>
        <w:spacing w:before="0" w:after="0" w:line="480" w:lineRule="auto"/>
        <w:ind w:left="720" w:hanging="720"/>
        <w:jc w:val="both"/>
      </w:pPr>
      <w:r w:rsidRPr="4A2C92AA" w:rsidR="4A2C92AA">
        <w:rPr>
          <w:rFonts w:ascii="Times New Roman" w:hAnsi="Times New Roman" w:eastAsia="Times New Roman" w:cs="Times New Roman"/>
          <w:sz w:val="24"/>
          <w:szCs w:val="24"/>
        </w:rPr>
        <w:t>DANE. (2022). Gran encuesta integrada de hogares: Resultados 2022. Departamento Administrativo Nacional de Estadística.</w:t>
      </w:r>
    </w:p>
    <w:p xmlns:wp14="http://schemas.microsoft.com/office/word/2010/wordml" w14:paraId="1A965116" wp14:textId="77777777">
      <w:pPr>
        <w:spacing w:before="0" w:after="0" w:line="480" w:lineRule="auto"/>
      </w:pPr>
    </w:p>
    <w:p xmlns:wp14="http://schemas.microsoft.com/office/word/2010/wordml" w14:paraId="6F37F123" wp14:textId="77777777">
      <w:pPr>
        <w:spacing w:before="0" w:after="0" w:line="480" w:lineRule="auto"/>
        <w:ind w:left="720" w:hanging="720"/>
        <w:jc w:val="both"/>
      </w:pPr>
      <w:r w:rsidRPr="4A2C92AA" w:rsidR="4A2C92AA">
        <w:rPr>
          <w:rFonts w:ascii="Times New Roman" w:hAnsi="Times New Roman" w:eastAsia="Times New Roman" w:cs="Times New Roman"/>
          <w:sz w:val="24"/>
          <w:szCs w:val="24"/>
        </w:rPr>
        <w:t>DANE. (2024). Índice de precios al consumidor: Informe anual 2023-2024. Departamento Administrativo Nacional de Estadística.</w:t>
      </w:r>
    </w:p>
    <w:p xmlns:wp14="http://schemas.microsoft.com/office/word/2010/wordml" w14:paraId="7DF4E37C" wp14:textId="77777777">
      <w:pPr>
        <w:spacing w:before="0" w:after="0" w:line="480" w:lineRule="auto"/>
      </w:pPr>
    </w:p>
    <w:p xmlns:wp14="http://schemas.microsoft.com/office/word/2010/wordml" w14:paraId="77D4353F" wp14:textId="77777777">
      <w:pPr>
        <w:spacing w:before="0" w:after="0" w:line="480" w:lineRule="auto"/>
        <w:ind w:left="720" w:hanging="720"/>
        <w:jc w:val="both"/>
      </w:pPr>
      <w:r w:rsidRPr="4A2C92AA" w:rsidR="4A2C92AA">
        <w:rPr>
          <w:rFonts w:ascii="Times New Roman" w:hAnsi="Times New Roman" w:eastAsia="Times New Roman" w:cs="Times New Roman"/>
          <w:sz w:val="24"/>
          <w:szCs w:val="24"/>
        </w:rPr>
        <w:t>Defensoría del Pueblo. (2024). Informe de desplazamiento forzado: Primer semestre 2024. Defensoría del Pueblo de Colombia.</w:t>
      </w:r>
    </w:p>
    <w:p xmlns:wp14="http://schemas.microsoft.com/office/word/2010/wordml" w14:paraId="44FB30F8" wp14:textId="77777777">
      <w:pPr>
        <w:spacing w:before="0" w:after="0" w:line="480" w:lineRule="auto"/>
      </w:pPr>
    </w:p>
    <w:p xmlns:wp14="http://schemas.microsoft.com/office/word/2010/wordml" w14:paraId="1971C8C2" wp14:textId="77777777">
      <w:pPr>
        <w:spacing w:before="0" w:after="0" w:line="480" w:lineRule="auto"/>
        <w:ind w:left="720" w:hanging="720"/>
        <w:jc w:val="both"/>
      </w:pPr>
      <w:r w:rsidRPr="4A2C92AA" w:rsidR="4A2C92AA">
        <w:rPr>
          <w:rFonts w:ascii="Times New Roman" w:hAnsi="Times New Roman" w:eastAsia="Times New Roman" w:cs="Times New Roman"/>
          <w:sz w:val="24"/>
          <w:szCs w:val="24"/>
        </w:rPr>
        <w:t>Fedesarrollo. (2023). Perspectivas económicas 2023-2024: Impacto de la transición energética sobre los ingresos fiscales colombianos. Fundación para la Educación Superior y el Desarrollo.</w:t>
      </w:r>
    </w:p>
    <w:p xmlns:wp14="http://schemas.microsoft.com/office/word/2010/wordml" w14:paraId="1DA6542E" wp14:textId="77777777">
      <w:pPr>
        <w:spacing w:before="0" w:after="0" w:line="480" w:lineRule="auto"/>
      </w:pPr>
    </w:p>
    <w:p xmlns:wp14="http://schemas.microsoft.com/office/word/2010/wordml" w14:paraId="03496A02" wp14:textId="77777777">
      <w:pPr>
        <w:spacing w:before="0" w:after="0" w:line="480" w:lineRule="auto"/>
        <w:ind w:left="720" w:hanging="720"/>
        <w:jc w:val="both"/>
      </w:pPr>
      <w:r w:rsidRPr="4A2C92AA" w:rsidR="4A2C92AA">
        <w:rPr>
          <w:rFonts w:ascii="Times New Roman" w:hAnsi="Times New Roman" w:eastAsia="Times New Roman" w:cs="Times New Roman"/>
          <w:sz w:val="24"/>
          <w:szCs w:val="24"/>
        </w:rPr>
        <w:t>Fitch Ratings. (2023). Colombia long-term foreign-currency issuer default rating: Outlook revision to negative. Fitch Ratings.</w:t>
      </w:r>
    </w:p>
    <w:p xmlns:wp14="http://schemas.microsoft.com/office/word/2010/wordml" w14:paraId="3041E394" wp14:textId="77777777">
      <w:pPr>
        <w:spacing w:before="0" w:after="0" w:line="480" w:lineRule="auto"/>
      </w:pPr>
    </w:p>
    <w:p xmlns:wp14="http://schemas.microsoft.com/office/word/2010/wordml" w14:paraId="6D535BC6" wp14:textId="77777777">
      <w:pPr>
        <w:spacing w:before="0" w:after="0" w:line="480" w:lineRule="auto"/>
        <w:ind w:left="720" w:hanging="720"/>
        <w:jc w:val="both"/>
      </w:pPr>
      <w:r w:rsidRPr="4A2C92AA" w:rsidR="4A2C92AA">
        <w:rPr>
          <w:rFonts w:ascii="Times New Roman" w:hAnsi="Times New Roman" w:eastAsia="Times New Roman" w:cs="Times New Roman"/>
          <w:sz w:val="24"/>
          <w:szCs w:val="24"/>
        </w:rPr>
        <w:t>Fundación para la Libertad de Prensa. (2023). Informe anual sobre el estado de la libertad de prensa en Colombia 2023. FLIP.</w:t>
      </w:r>
    </w:p>
    <w:p xmlns:wp14="http://schemas.microsoft.com/office/word/2010/wordml" w14:paraId="722B00AE" wp14:textId="77777777">
      <w:pPr>
        <w:spacing w:before="0" w:after="0" w:line="480" w:lineRule="auto"/>
      </w:pPr>
    </w:p>
    <w:p xmlns:wp14="http://schemas.microsoft.com/office/word/2010/wordml" w14:paraId="5C193958" wp14:textId="77777777">
      <w:pPr>
        <w:spacing w:before="0" w:after="0" w:line="480" w:lineRule="auto"/>
        <w:ind w:left="720" w:hanging="720"/>
        <w:jc w:val="both"/>
      </w:pPr>
      <w:r w:rsidRPr="4A2C92AA" w:rsidR="4A2C92AA">
        <w:rPr>
          <w:rFonts w:ascii="Times New Roman" w:hAnsi="Times New Roman" w:eastAsia="Times New Roman" w:cs="Times New Roman"/>
          <w:sz w:val="24"/>
          <w:szCs w:val="24"/>
        </w:rPr>
        <w:t>Gallup Colombia. (2024). Encuesta de opinión pública: Aprobación presidencial, tercer trimestre 2024. Gallup Colombia Ltda.</w:t>
      </w:r>
    </w:p>
    <w:p xmlns:wp14="http://schemas.microsoft.com/office/word/2010/wordml" w14:paraId="42C6D796" wp14:textId="77777777">
      <w:pPr>
        <w:spacing w:before="0" w:after="0" w:line="480" w:lineRule="auto"/>
      </w:pPr>
    </w:p>
    <w:p xmlns:wp14="http://schemas.microsoft.com/office/word/2010/wordml" w14:paraId="2531A3FE" wp14:textId="77777777">
      <w:pPr>
        <w:spacing w:before="0" w:after="0" w:line="480" w:lineRule="auto"/>
        <w:ind w:left="720" w:hanging="720"/>
        <w:jc w:val="both"/>
      </w:pPr>
      <w:r w:rsidRPr="4A2C92AA" w:rsidR="4A2C92AA">
        <w:rPr>
          <w:rFonts w:ascii="Times New Roman" w:hAnsi="Times New Roman" w:eastAsia="Times New Roman" w:cs="Times New Roman"/>
          <w:sz w:val="24"/>
          <w:szCs w:val="24"/>
        </w:rPr>
        <w:t>Gerchunoff, P., y Rapetti, M. (2016). La economía argentina y su conflicto distributivo estructural (1930-2015). El Trimestre Económico, 83(330), 225-272.</w:t>
      </w:r>
    </w:p>
    <w:p xmlns:wp14="http://schemas.microsoft.com/office/word/2010/wordml" w14:paraId="6E1831B3" wp14:textId="77777777">
      <w:pPr>
        <w:spacing w:before="0" w:after="0" w:line="480" w:lineRule="auto"/>
      </w:pPr>
    </w:p>
    <w:p xmlns:wp14="http://schemas.microsoft.com/office/word/2010/wordml" w14:paraId="2C71A60F" wp14:textId="77777777">
      <w:pPr>
        <w:spacing w:before="0" w:after="0" w:line="480" w:lineRule="auto"/>
        <w:ind w:left="720" w:hanging="720"/>
        <w:jc w:val="both"/>
      </w:pPr>
      <w:r w:rsidRPr="4A2C92AA" w:rsidR="4A2C92AA">
        <w:rPr>
          <w:rFonts w:ascii="Times New Roman" w:hAnsi="Times New Roman" w:eastAsia="Times New Roman" w:cs="Times New Roman"/>
          <w:sz w:val="24"/>
          <w:szCs w:val="24"/>
        </w:rPr>
        <w:t>INDEPAZ. (2024). Informe sobre violencia y conflicto armado en Colombia: Primer semestre 2024. Instituto de Estudios para el Desarrollo y la Paz.</w:t>
      </w:r>
    </w:p>
    <w:p xmlns:wp14="http://schemas.microsoft.com/office/word/2010/wordml" w14:paraId="54E11D2A" wp14:textId="77777777">
      <w:pPr>
        <w:spacing w:before="0" w:after="0" w:line="480" w:lineRule="auto"/>
      </w:pPr>
    </w:p>
    <w:p xmlns:wp14="http://schemas.microsoft.com/office/word/2010/wordml" w14:paraId="6817B177" wp14:textId="77777777">
      <w:pPr>
        <w:spacing w:before="0" w:after="0" w:line="480" w:lineRule="auto"/>
        <w:ind w:left="720" w:hanging="720"/>
        <w:jc w:val="both"/>
      </w:pPr>
      <w:r w:rsidRPr="4A2C92AA" w:rsidR="4A2C92AA">
        <w:rPr>
          <w:rFonts w:ascii="Times New Roman" w:hAnsi="Times New Roman" w:eastAsia="Times New Roman" w:cs="Times New Roman"/>
          <w:sz w:val="24"/>
          <w:szCs w:val="24"/>
        </w:rPr>
        <w:t>Infobae. (2022, diciembre 6). Condena a Cristina Fernández de Kirchner: Seis años de prisión e inhabilitación perpetua para cargos públicos. Infobae.</w:t>
      </w:r>
    </w:p>
    <w:p xmlns:wp14="http://schemas.microsoft.com/office/word/2010/wordml" w14:paraId="31126E5D" wp14:textId="77777777">
      <w:pPr>
        <w:spacing w:before="0" w:after="0" w:line="480" w:lineRule="auto"/>
      </w:pPr>
    </w:p>
    <w:p xmlns:wp14="http://schemas.microsoft.com/office/word/2010/wordml" w14:paraId="4361C553" wp14:textId="77777777">
      <w:pPr>
        <w:spacing w:before="0" w:after="0" w:line="480" w:lineRule="auto"/>
        <w:ind w:left="720" w:hanging="720"/>
        <w:jc w:val="both"/>
      </w:pPr>
      <w:r w:rsidRPr="4A2C92AA" w:rsidR="4A2C92AA">
        <w:rPr>
          <w:rFonts w:ascii="Times New Roman" w:hAnsi="Times New Roman" w:eastAsia="Times New Roman" w:cs="Times New Roman"/>
          <w:sz w:val="24"/>
          <w:szCs w:val="24"/>
        </w:rPr>
        <w:t>Invamer. (2024). Poll 139: Favorabilidad y desfavorabilidad del presidente Gustavo Petro, octubre 2024. Invamer S.A.</w:t>
      </w:r>
    </w:p>
    <w:p xmlns:wp14="http://schemas.microsoft.com/office/word/2010/wordml" w14:paraId="2DE403A5" wp14:textId="77777777">
      <w:pPr>
        <w:spacing w:before="0" w:after="0" w:line="480" w:lineRule="auto"/>
      </w:pPr>
    </w:p>
    <w:p xmlns:wp14="http://schemas.microsoft.com/office/word/2010/wordml" w14:paraId="01ADC556" wp14:textId="77777777">
      <w:pPr>
        <w:spacing w:before="0" w:after="0" w:line="480" w:lineRule="auto"/>
        <w:ind w:left="720" w:hanging="720"/>
        <w:jc w:val="both"/>
      </w:pPr>
      <w:r w:rsidRPr="4A2C92AA" w:rsidR="4A2C92AA">
        <w:rPr>
          <w:rFonts w:ascii="Times New Roman" w:hAnsi="Times New Roman" w:eastAsia="Times New Roman" w:cs="Times New Roman"/>
          <w:sz w:val="24"/>
          <w:szCs w:val="24"/>
        </w:rPr>
        <w:t>Laclau, E. (2005). La razón populista. Fondo de Cultura Económica.</w:t>
      </w:r>
    </w:p>
    <w:p xmlns:wp14="http://schemas.microsoft.com/office/word/2010/wordml" w14:paraId="62431CDC" wp14:textId="77777777">
      <w:pPr>
        <w:spacing w:before="0" w:after="0" w:line="480" w:lineRule="auto"/>
      </w:pPr>
    </w:p>
    <w:p xmlns:wp14="http://schemas.microsoft.com/office/word/2010/wordml" w14:paraId="0191A14F" wp14:textId="77777777">
      <w:pPr>
        <w:spacing w:before="0" w:after="0" w:line="480" w:lineRule="auto"/>
        <w:ind w:left="720" w:hanging="720"/>
        <w:jc w:val="both"/>
      </w:pPr>
      <w:r w:rsidRPr="4A2C92AA" w:rsidR="4A2C92AA">
        <w:rPr>
          <w:rFonts w:ascii="Times New Roman" w:hAnsi="Times New Roman" w:eastAsia="Times New Roman" w:cs="Times New Roman"/>
          <w:sz w:val="24"/>
          <w:szCs w:val="24"/>
        </w:rPr>
        <w:t>Latinobarómetro. (2024). Informe Latinobarómetro 2024: Democracia y confianza institucional. Corporación Latinobarómetro.</w:t>
      </w:r>
    </w:p>
    <w:p xmlns:wp14="http://schemas.microsoft.com/office/word/2010/wordml" w14:paraId="49E398E2" wp14:textId="77777777">
      <w:pPr>
        <w:spacing w:before="0" w:after="0" w:line="480" w:lineRule="auto"/>
      </w:pPr>
    </w:p>
    <w:p xmlns:wp14="http://schemas.microsoft.com/office/word/2010/wordml" w14:paraId="4121446A" wp14:textId="77777777">
      <w:pPr>
        <w:spacing w:before="0" w:after="0" w:line="480" w:lineRule="auto"/>
        <w:ind w:left="720" w:hanging="720"/>
        <w:jc w:val="both"/>
      </w:pPr>
      <w:r w:rsidRPr="4A2C92AA" w:rsidR="4A2C92AA">
        <w:rPr>
          <w:rFonts w:ascii="Times New Roman" w:hAnsi="Times New Roman" w:eastAsia="Times New Roman" w:cs="Times New Roman"/>
          <w:sz w:val="24"/>
          <w:szCs w:val="24"/>
        </w:rPr>
        <w:t>Levitsky, S., y Way, L. A. (2010). Competitive authoritarianism: Hybrid regimes after the Cold War. Cambridge University Press.</w:t>
      </w:r>
    </w:p>
    <w:p xmlns:wp14="http://schemas.microsoft.com/office/word/2010/wordml" w14:paraId="16287F21" wp14:textId="77777777">
      <w:pPr>
        <w:spacing w:before="0" w:after="0" w:line="480" w:lineRule="auto"/>
      </w:pPr>
    </w:p>
    <w:p xmlns:wp14="http://schemas.microsoft.com/office/word/2010/wordml" w14:paraId="1127A968" wp14:textId="77777777">
      <w:pPr>
        <w:spacing w:before="0" w:after="0" w:line="480" w:lineRule="auto"/>
        <w:ind w:left="720" w:hanging="720"/>
        <w:jc w:val="both"/>
      </w:pPr>
      <w:r w:rsidRPr="4A2C92AA" w:rsidR="4A2C92AA">
        <w:rPr>
          <w:rFonts w:ascii="Times New Roman" w:hAnsi="Times New Roman" w:eastAsia="Times New Roman" w:cs="Times New Roman"/>
          <w:sz w:val="24"/>
          <w:szCs w:val="24"/>
        </w:rPr>
        <w:t>Levitsky, S., y Ziblatt, D. (2018). How democracies die. Crown.</w:t>
      </w:r>
    </w:p>
    <w:p xmlns:wp14="http://schemas.microsoft.com/office/word/2010/wordml" w14:paraId="5BE93A62" wp14:textId="77777777">
      <w:pPr>
        <w:spacing w:before="0" w:after="0" w:line="480" w:lineRule="auto"/>
      </w:pPr>
    </w:p>
    <w:p xmlns:wp14="http://schemas.microsoft.com/office/word/2010/wordml" w14:paraId="22DBAC18" wp14:textId="77777777">
      <w:pPr>
        <w:spacing w:before="0" w:after="0" w:line="480" w:lineRule="auto"/>
        <w:ind w:left="720" w:hanging="720"/>
        <w:jc w:val="both"/>
      </w:pPr>
      <w:r w:rsidRPr="4A2C92AA" w:rsidR="4A2C92AA">
        <w:rPr>
          <w:rFonts w:ascii="Times New Roman" w:hAnsi="Times New Roman" w:eastAsia="Times New Roman" w:cs="Times New Roman"/>
          <w:sz w:val="24"/>
          <w:szCs w:val="24"/>
        </w:rPr>
        <w:t>Ministerio de Hacienda y Crédito Público. (2022). Marco Fiscal de Mediano Plazo 2022. República de Colombia.</w:t>
      </w:r>
    </w:p>
    <w:p xmlns:wp14="http://schemas.microsoft.com/office/word/2010/wordml" w14:paraId="384BA73E" wp14:textId="77777777">
      <w:pPr>
        <w:spacing w:before="0" w:after="0" w:line="480" w:lineRule="auto"/>
      </w:pPr>
    </w:p>
    <w:p xmlns:wp14="http://schemas.microsoft.com/office/word/2010/wordml" w14:paraId="20A22E86" wp14:textId="77777777">
      <w:pPr>
        <w:spacing w:before="0" w:after="0" w:line="480" w:lineRule="auto"/>
        <w:ind w:left="720" w:hanging="720"/>
        <w:jc w:val="both"/>
      </w:pPr>
      <w:r w:rsidRPr="4A2C92AA" w:rsidR="4A2C92AA">
        <w:rPr>
          <w:rFonts w:ascii="Times New Roman" w:hAnsi="Times New Roman" w:eastAsia="Times New Roman" w:cs="Times New Roman"/>
          <w:sz w:val="24"/>
          <w:szCs w:val="24"/>
        </w:rPr>
        <w:t>Ministerio de Hacienda y Crédito Público. (2024). Marco Fiscal de Mediano Plazo 2024: Situación fiscal y perspectivas. República de Colombia.</w:t>
      </w:r>
    </w:p>
    <w:p xmlns:wp14="http://schemas.microsoft.com/office/word/2010/wordml" w14:paraId="34B3F2EB" wp14:textId="77777777">
      <w:pPr>
        <w:spacing w:before="0" w:after="0" w:line="480" w:lineRule="auto"/>
      </w:pPr>
    </w:p>
    <w:p xmlns:wp14="http://schemas.microsoft.com/office/word/2010/wordml" w14:paraId="01CF90E5" wp14:textId="77777777">
      <w:pPr>
        <w:spacing w:before="0" w:after="0" w:line="480" w:lineRule="auto"/>
        <w:ind w:left="720" w:hanging="720"/>
        <w:jc w:val="both"/>
      </w:pPr>
      <w:r w:rsidRPr="4A2C92AA" w:rsidR="4A2C92AA">
        <w:rPr>
          <w:rFonts w:ascii="Times New Roman" w:hAnsi="Times New Roman" w:eastAsia="Times New Roman" w:cs="Times New Roman"/>
          <w:sz w:val="24"/>
          <w:szCs w:val="24"/>
        </w:rPr>
        <w:t>Ministerio de Relaciones Exteriores. (2023). Política exterior de Colombia: Líneas estratégicas 2022-2026. República de Colombia.</w:t>
      </w:r>
    </w:p>
    <w:p xmlns:wp14="http://schemas.microsoft.com/office/word/2010/wordml" w14:paraId="7D34F5C7" wp14:textId="77777777">
      <w:pPr>
        <w:spacing w:before="0" w:after="0" w:line="480" w:lineRule="auto"/>
      </w:pPr>
    </w:p>
    <w:p xmlns:wp14="http://schemas.microsoft.com/office/word/2010/wordml" w14:paraId="3C9C3209" wp14:textId="77777777">
      <w:pPr>
        <w:spacing w:before="0" w:after="0" w:line="480" w:lineRule="auto"/>
        <w:ind w:left="720" w:hanging="720"/>
        <w:jc w:val="both"/>
      </w:pPr>
      <w:r w:rsidRPr="4A2C92AA" w:rsidR="4A2C92AA">
        <w:rPr>
          <w:rFonts w:ascii="Times New Roman" w:hAnsi="Times New Roman" w:eastAsia="Times New Roman" w:cs="Times New Roman"/>
          <w:sz w:val="24"/>
          <w:szCs w:val="24"/>
        </w:rPr>
        <w:t>Mudde, C., y Rovira Kaltwasser, C. (2017). Populism: A very short introduction. Oxford University Press.</w:t>
      </w:r>
    </w:p>
    <w:p xmlns:wp14="http://schemas.microsoft.com/office/word/2010/wordml" w14:paraId="0B4020A7" wp14:textId="77777777">
      <w:pPr>
        <w:spacing w:before="0" w:after="0" w:line="480" w:lineRule="auto"/>
      </w:pPr>
    </w:p>
    <w:p xmlns:wp14="http://schemas.microsoft.com/office/word/2010/wordml" w14:paraId="50632514" wp14:textId="77777777">
      <w:pPr>
        <w:spacing w:before="0" w:after="0" w:line="480" w:lineRule="auto"/>
        <w:ind w:left="720" w:hanging="720"/>
        <w:jc w:val="both"/>
      </w:pPr>
      <w:r w:rsidRPr="4A2C92AA" w:rsidR="4A2C92AA">
        <w:rPr>
          <w:rFonts w:ascii="Times New Roman" w:hAnsi="Times New Roman" w:eastAsia="Times New Roman" w:cs="Times New Roman"/>
          <w:sz w:val="24"/>
          <w:szCs w:val="24"/>
        </w:rPr>
        <w:t>Registraduría Nacional del Estado Civil. (2022). Resultados elecciones presidenciales 2022: Primera y segunda vuelta. República de Colombia.</w:t>
      </w:r>
    </w:p>
    <w:p xmlns:wp14="http://schemas.microsoft.com/office/word/2010/wordml" w14:paraId="1D7B270A" wp14:textId="77777777">
      <w:pPr>
        <w:spacing w:before="0" w:after="0" w:line="480" w:lineRule="auto"/>
      </w:pPr>
    </w:p>
    <w:p xmlns:wp14="http://schemas.microsoft.com/office/word/2010/wordml" w14:paraId="4052182E" wp14:textId="77777777">
      <w:pPr>
        <w:spacing w:before="0" w:after="0" w:line="480" w:lineRule="auto"/>
        <w:ind w:left="720" w:hanging="720"/>
        <w:jc w:val="both"/>
      </w:pPr>
      <w:r w:rsidRPr="4A2C92AA" w:rsidR="4A2C92AA">
        <w:rPr>
          <w:rFonts w:ascii="Times New Roman" w:hAnsi="Times New Roman" w:eastAsia="Times New Roman" w:cs="Times New Roman"/>
          <w:sz w:val="24"/>
          <w:szCs w:val="24"/>
        </w:rPr>
        <w:t>Reporteros sin Fronteras. (2016). Informe anual sobre libertad de prensa en Ecuador 2016. RSF.</w:t>
      </w:r>
    </w:p>
    <w:p xmlns:wp14="http://schemas.microsoft.com/office/word/2010/wordml" w14:paraId="4F904CB7" wp14:textId="77777777">
      <w:pPr>
        <w:spacing w:before="0" w:after="0" w:line="480" w:lineRule="auto"/>
      </w:pPr>
    </w:p>
    <w:p xmlns:wp14="http://schemas.microsoft.com/office/word/2010/wordml" w14:paraId="692A2AAD" wp14:textId="77777777">
      <w:pPr>
        <w:spacing w:before="0" w:after="0" w:line="480" w:lineRule="auto"/>
        <w:ind w:left="720" w:hanging="720"/>
        <w:jc w:val="both"/>
      </w:pPr>
      <w:r w:rsidRPr="4A2C92AA" w:rsidR="4A2C92AA">
        <w:rPr>
          <w:rFonts w:ascii="Times New Roman" w:hAnsi="Times New Roman" w:eastAsia="Times New Roman" w:cs="Times New Roman"/>
          <w:sz w:val="24"/>
          <w:szCs w:val="24"/>
        </w:rPr>
        <w:t>Reporteros sin Fronteras. (2023). Índice mundial de libertad de prensa 2023. RSF.</w:t>
      </w:r>
    </w:p>
    <w:p xmlns:wp14="http://schemas.microsoft.com/office/word/2010/wordml" w14:paraId="06971CD3" wp14:textId="77777777">
      <w:pPr>
        <w:spacing w:before="0" w:after="0" w:line="480" w:lineRule="auto"/>
      </w:pPr>
    </w:p>
    <w:p xmlns:wp14="http://schemas.microsoft.com/office/word/2010/wordml" w14:paraId="2D172F16" wp14:textId="77777777">
      <w:pPr>
        <w:spacing w:before="0" w:after="0" w:line="480" w:lineRule="auto"/>
        <w:ind w:left="720" w:hanging="720"/>
        <w:jc w:val="both"/>
      </w:pPr>
      <w:r w:rsidRPr="4A2C92AA" w:rsidR="4A2C92AA">
        <w:rPr>
          <w:rFonts w:ascii="Times New Roman" w:hAnsi="Times New Roman" w:eastAsia="Times New Roman" w:cs="Times New Roman"/>
          <w:sz w:val="24"/>
          <w:szCs w:val="24"/>
        </w:rPr>
        <w:t>Sturzenegger, F., y Zettelmeyer, J. (2006). Debt defaults and lessons from a decade of crises. MIT Press.</w:t>
      </w:r>
    </w:p>
    <w:p xmlns:wp14="http://schemas.microsoft.com/office/word/2010/wordml" w14:paraId="2A1F701D" wp14:textId="77777777">
      <w:pPr>
        <w:spacing w:before="0" w:after="0" w:line="480" w:lineRule="auto"/>
      </w:pPr>
    </w:p>
    <w:p xmlns:wp14="http://schemas.microsoft.com/office/word/2010/wordml" w14:paraId="7B0451FB" wp14:textId="77777777">
      <w:pPr>
        <w:spacing w:before="0" w:after="0" w:line="480" w:lineRule="auto"/>
        <w:ind w:left="720" w:hanging="720"/>
        <w:jc w:val="both"/>
      </w:pPr>
      <w:r w:rsidRPr="4A2C92AA" w:rsidR="4A2C92AA">
        <w:rPr>
          <w:rFonts w:ascii="Times New Roman" w:hAnsi="Times New Roman" w:eastAsia="Times New Roman" w:cs="Times New Roman"/>
          <w:sz w:val="24"/>
          <w:szCs w:val="24"/>
        </w:rPr>
        <w:t>Weyland, K. (2013). The threat from the populist left. Journal of Democracy, 24(3), 18-32.</w:t>
      </w:r>
    </w:p>
    <w:p xmlns:wp14="http://schemas.microsoft.com/office/word/2010/wordml" w14:paraId="03EFCA41" wp14:textId="77777777">
      <w:pPr>
        <w:spacing w:before="0" w:after="0" w:line="480" w:lineRule="auto"/>
      </w:pPr>
    </w:p>
    <w:p xmlns:wp14="http://schemas.microsoft.com/office/word/2010/wordml" w14:paraId="7749DC34" wp14:textId="77777777">
      <w:pPr>
        <w:spacing w:before="0" w:after="0" w:line="480" w:lineRule="auto"/>
        <w:ind w:left="720" w:hanging="720"/>
        <w:jc w:val="both"/>
      </w:pPr>
      <w:r w:rsidRPr="4A2C92AA" w:rsidR="4A2C92AA">
        <w:rPr>
          <w:rFonts w:ascii="Times New Roman" w:hAnsi="Times New Roman" w:eastAsia="Times New Roman" w:cs="Times New Roman"/>
          <w:sz w:val="24"/>
          <w:szCs w:val="24"/>
        </w:rPr>
        <w:t>World Justice Project. (2023). Rule of law index 2023. World Justice Project.</w:t>
      </w:r>
    </w:p>
    <w:sectPr>
      <w:headerReference w:type="default" r:id="rId7"/>
      <w:pgSz w:w="12240" w:h="15840" w:orient="portrait"/>
      <w:pgMar w:top="1440" w:right="1440" w:bottom="1440" w:left="1440" w:header="708" w:footer="708" w:gutter="0"/>
      <w:pgNumType/>
      <w:docGrid w:linePitch="360"/>
      <w:cols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xmlns:wp14="http://schemas.microsoft.com/office/word/2010/wordml" w14:paraId="133EDD17" wp14:textId="77777777">
    <w:pPr>
      <w:jc w:val="right"/>
    </w:pPr>
    <w:r w:rsidRPr="4A2C92AA">
      <w:rPr>
        <w:rFonts w:ascii="Times New Roman" w:hAnsi="Times New Roman" w:eastAsia="Times New Roman" w:cs="Times New Roman"/>
        <w:sz w:val="24"/>
        <w:szCs w:val="24"/>
      </w:rPr>
      <w:fldChar w:fldCharType="begin"/>
    </w:r>
    <w:r w:rsidRPr="4A2C92AA">
      <w:rPr>
        <w:rFonts w:ascii="Times New Roman" w:hAnsi="Times New Roman" w:eastAsia="Times New Roman" w:cs="Times New Roman"/>
        <w:sz w:val="24"/>
        <w:szCs w:val="24"/>
      </w:rPr>
      <w:instrText xml:space="preserve">PAGE</w:instrText>
    </w:r>
    <w:r w:rsidRPr="4A2C92AA">
      <w:rPr>
        <w:rFonts w:ascii="Times New Roman" w:hAnsi="Times New Roman" w:eastAsia="Times New Roman" w:cs="Times New Roman"/>
        <w:sz w:val="24"/>
        <w:szCs w:val="24"/>
      </w:rPr>
      <w:fldChar w:fldCharType="separate"/>
    </w:r>
    <w:r w:rsidRPr="4A2C92AA">
      <w:rPr>
        <w:rFonts w:ascii="Times New Roman" w:hAnsi="Times New Roman" w:eastAsia="Times New Roman" w:cs="Times New Roman"/>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nsid w:val="3e914ff"/>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proofState w:spelling="clean" w:grammar="dirty"/>
  <w:trackRevisions w:val="false"/>
  <w:defaultTabStop w:val="720"/>
  <w:evenAndOddHeaders w:val="false"/>
  <w:compat>
    <w:compatSetting w:val="15" w:name="compatibilityMode" w:uri="http://schemas.microsoft.com/office/word"/>
  </w:compat>
  <w14:docId w14:val="21583122"/>
  <w15:docId w15:val="{4624FC1B-962C-4FD7-BD22-A5F9D8519853}"/>
  <w:rsids>
    <w:rsidRoot w:val="338C6F97"/>
    <w:rsid w:val="338C6F97"/>
    <w:rsid w:val="34BC2C43"/>
    <w:rsid w:val="4A2C92AA"/>
    <w:rsid w:val="6C8C3BAA"/>
    <w:rsid w:val="6D4F1870"/>
    <w:rsid w:val="717D6468"/>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imes New Roman" w:hAnsi="Times New Roman" w:eastAsia="Times New Roman" w:cs="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default="1">
    <w:uiPriority w:val="0"/>
    <w:name w:val="Normal"/>
    <w:qFormat/>
    <w:rsid w:val="4A2C92AA"/>
    <w:rPr>
      <w:noProof w:val="0"/>
      <w:lang w:val="es-CO"/>
    </w:rPr>
  </w:style>
</w:styles>
</file>

<file path=word/_rels/document.xml.rels>&#65279;<?xml version="1.0" encoding="utf-8"?><Relationships xmlns="http://schemas.openxmlformats.org/package/2006/relationships"><Relationship Type="http://schemas.openxmlformats.org/officeDocument/2006/relationships/styles" Target="styles.xml" Id="rId1" /><Relationship Type="http://schemas.openxmlformats.org/officeDocument/2006/relationships/numbering" Target="numbering.xml" Id="rId2" /><Relationship Type="http://schemas.openxmlformats.org/officeDocument/2006/relationships/settings" Target="settings.xml" Id="rId5" /><Relationship Type="http://schemas.openxmlformats.org/officeDocument/2006/relationships/header" Target="header1.xml" Id="rId7" /><Relationship Type="http://schemas.openxmlformats.org/officeDocument/2006/relationships/fontTable" Target="fontTable.xml" Id="rId8" /></Relationships>
</file>

<file path=word/_rels/fontTable.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Version>16.0000</ap:AppVersion>
  <ap:Application>Microsoft Word for the web</ap:Applicat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Un-named</dc:creator>
  <lastModifiedBy>Nicolás Ocampo</lastModifiedBy>
  <revision>2</revision>
  <dcterms:created xsi:type="dcterms:W3CDTF">2026-06-13T00:56:45.9660000Z</dcterms:created>
  <dcterms:modified xsi:type="dcterms:W3CDTF">2026-06-13T17:11:31.7923866Z</dcterms:modified>
</coreProperties>
</file>

<file path=docProps/custom.xml><?xml version="1.0" encoding="utf-8"?>
<Properties xmlns="http://schemas.openxmlformats.org/officeDocument/2006/custom-properties" xmlns:vt="http://schemas.openxmlformats.org/officeDocument/2006/docPropsVTypes"/>
</file>