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CA6" w:rsidRDefault="00494CA6">
      <w:pPr>
        <w:spacing w:line="480" w:lineRule="auto"/>
      </w:pPr>
    </w:p>
    <w:p w:rsidR="00494CA6" w:rsidRDefault="00494CA6">
      <w:pPr>
        <w:spacing w:line="480" w:lineRule="auto"/>
      </w:pPr>
    </w:p>
    <w:p w:rsidR="00494CA6" w:rsidRDefault="00494CA6">
      <w:pPr>
        <w:spacing w:line="480" w:lineRule="auto"/>
      </w:pPr>
    </w:p>
    <w:p w:rsidR="00494CA6" w:rsidRDefault="00494CA6">
      <w:pPr>
        <w:spacing w:line="480" w:lineRule="auto"/>
      </w:pPr>
    </w:p>
    <w:p w:rsidR="00494CA6" w:rsidRDefault="00595EA5">
      <w:pPr>
        <w:spacing w:line="480" w:lineRule="auto"/>
        <w:jc w:val="center"/>
      </w:pPr>
      <w:r>
        <w:rPr>
          <w:b/>
          <w:bCs/>
        </w:rPr>
        <w:t>La Institucionalidad y Sus Enemigos Internos</w:t>
      </w:r>
    </w:p>
    <w:p w:rsidR="00494CA6" w:rsidRDefault="00494CA6">
      <w:pPr>
        <w:spacing w:line="480" w:lineRule="auto"/>
      </w:pPr>
    </w:p>
    <w:p w:rsidR="00494CA6" w:rsidRDefault="00595EA5">
      <w:pPr>
        <w:spacing w:line="480" w:lineRule="auto"/>
        <w:jc w:val="center"/>
      </w:pPr>
      <w:r>
        <w:t>Ensayo desde una perspectiva de orden, tradición y realismo político</w:t>
      </w:r>
    </w:p>
    <w:p w:rsidR="00494CA6" w:rsidRDefault="00494CA6">
      <w:pPr>
        <w:spacing w:line="480" w:lineRule="auto"/>
      </w:pPr>
    </w:p>
    <w:p w:rsidR="00494CA6" w:rsidRDefault="00B4726F">
      <w:pPr>
        <w:spacing w:line="480" w:lineRule="auto"/>
        <w:jc w:val="center"/>
      </w:pPr>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300990</wp:posOffset>
            </wp:positionV>
            <wp:extent cx="1581150" cy="15811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aaaaaaaa-removebg-preview.png"/>
                    <pic:cNvPicPr/>
                  </pic:nvPicPr>
                  <pic:blipFill>
                    <a:blip r:embed="rId7" cstate="print">
                      <a:extLst>
                        <a:ext uri="{BEBA8EAE-BF5A-486C-A8C5-ECC9F3942E4B}">
                          <a14:imgProps xmlns:a14="http://schemas.microsoft.com/office/drawing/2010/main">
                            <a14:imgLayer r:embed="rId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14:sizeRelH relativeFrom="margin">
              <wp14:pctWidth>0</wp14:pctWidth>
            </wp14:sizeRelH>
            <wp14:sizeRelV relativeFrom="margin">
              <wp14:pctHeight>0</wp14:pctHeight>
            </wp14:sizeRelV>
          </wp:anchor>
        </w:drawing>
      </w:r>
      <w:r w:rsidR="00595EA5">
        <w:t>Unión Nacionalista Colombiana</w:t>
      </w:r>
    </w:p>
    <w:p w:rsidR="00494CA6" w:rsidRDefault="00494CA6">
      <w:pPr>
        <w:spacing w:line="480" w:lineRule="auto"/>
      </w:pPr>
      <w:bookmarkStart w:id="0" w:name="_GoBack"/>
      <w:bookmarkEnd w:id="0"/>
    </w:p>
    <w:p w:rsidR="00494CA6" w:rsidRDefault="00494CA6">
      <w:pPr>
        <w:spacing w:line="480" w:lineRule="auto"/>
      </w:pPr>
    </w:p>
    <w:p w:rsidR="00494CA6" w:rsidRDefault="00494CA6">
      <w:pPr>
        <w:spacing w:line="480" w:lineRule="auto"/>
      </w:pPr>
    </w:p>
    <w:p w:rsidR="00494CA6" w:rsidRDefault="00494CA6">
      <w:pPr>
        <w:spacing w:line="480" w:lineRule="auto"/>
      </w:pPr>
    </w:p>
    <w:p w:rsidR="00494CA6" w:rsidRDefault="00494CA6">
      <w:pPr>
        <w:spacing w:line="480" w:lineRule="auto"/>
      </w:pPr>
    </w:p>
    <w:p w:rsidR="00494CA6" w:rsidRDefault="00494CA6">
      <w:pPr>
        <w:spacing w:line="480" w:lineRule="auto"/>
      </w:pPr>
    </w:p>
    <w:p w:rsidR="00494CA6" w:rsidRDefault="00595EA5">
      <w:pPr>
        <w:spacing w:line="480" w:lineRule="auto"/>
        <w:jc w:val="center"/>
      </w:pPr>
      <w:r>
        <w:rPr>
          <w:b/>
          <w:bCs/>
        </w:rPr>
        <w:t>La Institucionalidad y Sus Enemigos Internos</w:t>
      </w:r>
    </w:p>
    <w:p w:rsidR="00494CA6" w:rsidRDefault="00494CA6">
      <w:pPr>
        <w:spacing w:line="480" w:lineRule="auto"/>
      </w:pPr>
    </w:p>
    <w:p w:rsidR="00494CA6" w:rsidRDefault="00595EA5">
      <w:pPr>
        <w:spacing w:line="480" w:lineRule="auto"/>
        <w:jc w:val="center"/>
      </w:pPr>
      <w:r>
        <w:rPr>
          <w:b/>
          <w:bCs/>
        </w:rPr>
        <w:t>La Ilusión de la Institucionalidad Neutra</w:t>
      </w:r>
    </w:p>
    <w:p w:rsidR="00494CA6" w:rsidRDefault="00494CA6">
      <w:pPr>
        <w:spacing w:line="480" w:lineRule="auto"/>
      </w:pPr>
    </w:p>
    <w:p w:rsidR="00494CA6" w:rsidRDefault="00595EA5">
      <w:pPr>
        <w:spacing w:line="480" w:lineRule="auto"/>
        <w:ind w:firstLine="720"/>
        <w:jc w:val="both"/>
      </w:pPr>
      <w:r>
        <w:t>El debate contemporáneo sobre la institucionalidad en América Latina, y particularmente en Colombia, adolece de un defecto de origen: se trata la institución como si fuera un mecanismo técnico, neutral, susceptible de ser perfeccionado mediante reformas pr</w:t>
      </w:r>
      <w:r>
        <w:t xml:space="preserve">ocedimentales. Esta visión —heredera del racionalismo ilustrado en su versión más ingenua— ignora una verdad que la </w:t>
      </w:r>
      <w:r>
        <w:lastRenderedPageBreak/>
        <w:t>experiencia histórica ha confirmado repetidamente: las instituciones no son instrumentos neutrales sino depósitos de cultura, de voluntad hi</w:t>
      </w:r>
      <w:r>
        <w:t>stórica, de jerarquía sedimentada. Cuando se vacían de su contenido sustantivo y se reducen a formalidades jurídicas, no se vuelven más justas ni más eficientes. Se vuelven presas fáciles.</w:t>
      </w:r>
    </w:p>
    <w:p w:rsidR="00494CA6" w:rsidRDefault="00494CA6">
      <w:pPr>
        <w:spacing w:line="480" w:lineRule="auto"/>
      </w:pPr>
    </w:p>
    <w:p w:rsidR="00494CA6" w:rsidRDefault="00595EA5" w:rsidP="00B4726F">
      <w:pPr>
        <w:spacing w:line="480" w:lineRule="auto"/>
        <w:jc w:val="both"/>
      </w:pPr>
      <w:proofErr w:type="spellStart"/>
      <w:r>
        <w:t>Burke</w:t>
      </w:r>
      <w:proofErr w:type="spellEnd"/>
      <w:r>
        <w:t xml:space="preserve"> (1790) ya lo advertía frente a los revolucionarios franceses</w:t>
      </w:r>
      <w:r>
        <w:t>: no existe sociedad bien ordenada sin el peso acumulado de las generaciones anteriores, sin la autoridad que confiere no el contrato hipotético sino la herencia real. Las instituciones, en el sentido verdadero del término, no se decretan; se forman. Y cua</w:t>
      </w:r>
      <w:r>
        <w:t>ndo se pretende construirlas desde cero —como han intentado, con distintos grados de violencia, desde Robespierre hasta Chávez— el resultado no es el orden racional prometido sino el caos con pretensión de sistema.</w:t>
      </w:r>
    </w:p>
    <w:p w:rsidR="00494CA6" w:rsidRDefault="00494CA6">
      <w:pPr>
        <w:spacing w:line="480" w:lineRule="auto"/>
      </w:pPr>
    </w:p>
    <w:p w:rsidR="00494CA6" w:rsidRDefault="00595EA5" w:rsidP="00B4726F">
      <w:pPr>
        <w:spacing w:line="480" w:lineRule="auto"/>
        <w:jc w:val="both"/>
      </w:pPr>
      <w:r>
        <w:t>Colombia es un caso de estudio privilegi</w:t>
      </w:r>
      <w:r>
        <w:t>ado para este análisis. El país ha tenido más constituciones que décadas de paz sostenida. La Constitución de 1991, celebrada como un pacto refundacional, no resolvió el problema de la debilidad institucional; lo reencuadró dentro de un lenguaje de derecho</w:t>
      </w:r>
      <w:r>
        <w:t>s que, paradójicamente, ha servido para erosionar la capacidad del Estado de ejercer autoridad efectiva sobre el territorio. El resultado es un Estado que proclama derechos que no puede garantizar y que ejerce una soberanía que solo existe sobre el papel e</w:t>
      </w:r>
      <w:r>
        <w:t>n vastas porciones del país.</w:t>
      </w:r>
    </w:p>
    <w:p w:rsidR="00494CA6" w:rsidRDefault="00494CA6">
      <w:pPr>
        <w:spacing w:line="480" w:lineRule="auto"/>
      </w:pPr>
    </w:p>
    <w:p w:rsidR="00494CA6" w:rsidRDefault="00595EA5">
      <w:pPr>
        <w:spacing w:line="480" w:lineRule="auto"/>
        <w:jc w:val="center"/>
      </w:pPr>
      <w:r>
        <w:rPr>
          <w:b/>
          <w:bCs/>
        </w:rPr>
        <w:t>El Origen Violento de la Sustancia Institucional</w:t>
      </w:r>
    </w:p>
    <w:p w:rsidR="00494CA6" w:rsidRDefault="00494CA6">
      <w:pPr>
        <w:spacing w:line="480" w:lineRule="auto"/>
      </w:pPr>
    </w:p>
    <w:p w:rsidR="00494CA6" w:rsidRDefault="00595EA5" w:rsidP="00B4726F">
      <w:pPr>
        <w:spacing w:line="480" w:lineRule="auto"/>
        <w:jc w:val="both"/>
      </w:pPr>
      <w:r>
        <w:lastRenderedPageBreak/>
        <w:t>Antes de diagnosticar la debilidad de las instituciones colombianas conviene ser honesto sobre algo que el pensamiento institucionalista latinoamericano prefiere no decir con claridad: la sustancia que sostiene a las instituciones exitosas no surgió de nin</w:t>
      </w:r>
      <w:r>
        <w:t>gún consenso moral previo. Surgió de la violencia, de la imposición, del sometimiento de unos por otros.</w:t>
      </w:r>
    </w:p>
    <w:p w:rsidR="00494CA6" w:rsidRDefault="00494CA6">
      <w:pPr>
        <w:spacing w:line="480" w:lineRule="auto"/>
      </w:pPr>
    </w:p>
    <w:p w:rsidR="00494CA6" w:rsidRDefault="00595EA5" w:rsidP="00B4726F">
      <w:pPr>
        <w:spacing w:line="480" w:lineRule="auto"/>
        <w:jc w:val="both"/>
      </w:pPr>
      <w:r>
        <w:t>Tilly (1992) lo demostró con rigor histórico: los Estados europeos que hoy exhiben como modelo de institucionalidad funcional fueron construidos media</w:t>
      </w:r>
      <w:r>
        <w:t>nte guerras de exterminio, purgas religiosas, desplazamientos masivos y la eliminación sistemática de los rivales internos que competían por el monopolio de la violencia. La paz westfaliana no fue el resultado de un acuerdo entre iguales que decidieron con</w:t>
      </w:r>
      <w:r>
        <w:t xml:space="preserve">vivir en la diferencia; fue el resultado de que ciertos actores ganaron y otros perdieron, y los perdedores fueron absorbidos, eliminados o empujados a los márgenes. El consenso moral que hoy llamamos "cultura institucional" europea es, en gran medida, el </w:t>
      </w:r>
      <w:r>
        <w:t>sedimento de esas victorias y esas derrotas.</w:t>
      </w:r>
    </w:p>
    <w:p w:rsidR="00494CA6" w:rsidRDefault="00494CA6">
      <w:pPr>
        <w:spacing w:line="480" w:lineRule="auto"/>
      </w:pPr>
    </w:p>
    <w:p w:rsidR="00494CA6" w:rsidRDefault="00595EA5" w:rsidP="00B4726F">
      <w:pPr>
        <w:spacing w:line="480" w:lineRule="auto"/>
        <w:jc w:val="both"/>
      </w:pPr>
      <w:r>
        <w:t>Esto no es una apología de la violencia fundacional. Es el reconocimiento de que la "sustancia" institucional que el análisis político exige como precondición del orden es, en realidad, el producto de un proces</w:t>
      </w:r>
      <w:r>
        <w:t>o que nadie elegiría si pudiera diseñarlo racionalmente. Hobbes (1651) lo entendía con una brutalidad que los reformistas constitucionales prefieren olvidar: el contrato social no es un acuerdo entre libres; es la rendición racional ante la evidencia de qu</w:t>
      </w:r>
      <w:r>
        <w:t>e sin un soberano que concentre el poder, todos están peor.</w:t>
      </w:r>
    </w:p>
    <w:p w:rsidR="00494CA6" w:rsidRDefault="00494CA6">
      <w:pPr>
        <w:spacing w:line="480" w:lineRule="auto"/>
      </w:pPr>
    </w:p>
    <w:p w:rsidR="00494CA6" w:rsidRDefault="00595EA5" w:rsidP="00B4726F">
      <w:pPr>
        <w:spacing w:line="480" w:lineRule="auto"/>
        <w:jc w:val="both"/>
      </w:pPr>
      <w:r>
        <w:t xml:space="preserve">Colombia nunca terminó ese proceso. No porque le faltara violencia —le sobró— sino porque ninguno de los actores en conflicto logró la victoria decisiva que obliga a los demás a reorganizarse </w:t>
      </w:r>
      <w:r>
        <w:lastRenderedPageBreak/>
        <w:t>baj</w:t>
      </w:r>
      <w:r>
        <w:t>o un orden nuevo. El resultado es un empate armado prolongado que se institucionaliza como statu quo: el Estado no puede eliminar a los actores ilegales, los actores ilegales no pueden derrocar al Estado, y en ese equilibrio de debilidades mutuas se perpet</w:t>
      </w:r>
      <w:r>
        <w:t>úa una soberanía fragmentada que todos los actores —incluyendo sectores de la élite formal— tienen incentivos para mantener porque el desorden selectivo es funcional a sus intereses particulares.</w:t>
      </w:r>
    </w:p>
    <w:p w:rsidR="00494CA6" w:rsidRDefault="00494CA6">
      <w:pPr>
        <w:spacing w:line="480" w:lineRule="auto"/>
      </w:pPr>
    </w:p>
    <w:p w:rsidR="00494CA6" w:rsidRDefault="00595EA5" w:rsidP="00B4726F">
      <w:pPr>
        <w:spacing w:line="480" w:lineRule="auto"/>
        <w:jc w:val="both"/>
      </w:pPr>
      <w:r>
        <w:t xml:space="preserve">La pregunta que emerge, y que el análisis honesto no puede </w:t>
      </w:r>
      <w:r>
        <w:t>eludir, es si Colombia requiere todavía un proceso de consolidación estatal del tipo que Europa completó entre los siglos XVI y XIX, con todos los costos que eso implica, o si existe algún atajo institucional que permita llegar al mismo destino sin transit</w:t>
      </w:r>
      <w:r>
        <w:t>ar el mismo camino. La evidencia histórica comparada sugiere que los atajos —las constituciones importadas, los acuerdos de paz sin victoria militar, las reformas judiciales sin transformación del poder real— no han funcionado. Pero la alternativa que la h</w:t>
      </w:r>
      <w:r>
        <w:t>istoria ofrece tampoco está disponible políticamente en el siglo XXI, y esa tensión irresuelta es el núcleo del problema institucional colombiano.</w:t>
      </w:r>
    </w:p>
    <w:p w:rsidR="00494CA6" w:rsidRDefault="00494CA6">
      <w:pPr>
        <w:spacing w:line="480" w:lineRule="auto"/>
      </w:pPr>
    </w:p>
    <w:p w:rsidR="00494CA6" w:rsidRDefault="00595EA5">
      <w:pPr>
        <w:spacing w:line="480" w:lineRule="auto"/>
        <w:jc w:val="center"/>
      </w:pPr>
      <w:r>
        <w:rPr>
          <w:b/>
          <w:bCs/>
        </w:rPr>
        <w:t>Las Élites y el Problema de los Incentivos Estructurales</w:t>
      </w:r>
    </w:p>
    <w:p w:rsidR="00494CA6" w:rsidRDefault="00494CA6">
      <w:pPr>
        <w:spacing w:line="480" w:lineRule="auto"/>
      </w:pPr>
    </w:p>
    <w:p w:rsidR="00494CA6" w:rsidRDefault="00595EA5" w:rsidP="00B4726F">
      <w:pPr>
        <w:spacing w:line="480" w:lineRule="auto"/>
        <w:jc w:val="both"/>
      </w:pPr>
      <w:r>
        <w:t>El análisis de la élite colombiana mediante el con</w:t>
      </w:r>
      <w:r>
        <w:t>cepto de Olson (1993) del "bandido estacionario" es iluminador precisamente porque desplaza la explicación desde la moral hacia la estructura. Las élites no son extractivas porque sean éticamente inferiores a las élites de los países con instituciones func</w:t>
      </w:r>
      <w:r>
        <w:t>ionales; son extractivas porque el sistema de incentivos en el que operan premia la extracción y castiga la inversión en bienes públicos.</w:t>
      </w:r>
    </w:p>
    <w:p w:rsidR="00494CA6" w:rsidRDefault="00494CA6">
      <w:pPr>
        <w:spacing w:line="480" w:lineRule="auto"/>
      </w:pPr>
    </w:p>
    <w:p w:rsidR="00494CA6" w:rsidRDefault="00595EA5" w:rsidP="00B4726F">
      <w:pPr>
        <w:spacing w:line="480" w:lineRule="auto"/>
        <w:jc w:val="both"/>
      </w:pPr>
      <w:r>
        <w:lastRenderedPageBreak/>
        <w:t xml:space="preserve">Pero este diagnóstico lleva a una incomodidad que el pensamiento reformista latinoamericano —tanto de izquierda como </w:t>
      </w:r>
      <w:r>
        <w:t>de derecha— prefiere evitar: si el comportamiento de la élite es racional dentro de un sistema de incentivos dado, entonces la solución no puede ser una apelación a la responsabilidad moral o al patriotismo ilustrado. Tiene que ser una transformación del s</w:t>
      </w:r>
      <w:r>
        <w:t>istema de incentivos que haga costoso el comportamiento extractivo y rentable el comportamiento constructivo.</w:t>
      </w:r>
    </w:p>
    <w:p w:rsidR="00494CA6" w:rsidRDefault="00494CA6">
      <w:pPr>
        <w:spacing w:line="480" w:lineRule="auto"/>
      </w:pPr>
    </w:p>
    <w:p w:rsidR="00494CA6" w:rsidRDefault="00595EA5" w:rsidP="00B4726F">
      <w:pPr>
        <w:spacing w:line="480" w:lineRule="auto"/>
        <w:jc w:val="both"/>
      </w:pPr>
      <w:r>
        <w:t xml:space="preserve">¿Qué transforma los incentivos de una élite? Históricamente, tres mecanismos: la presión externa de un enemigo que amenaza con quitarle todo, la </w:t>
      </w:r>
      <w:r>
        <w:t>presión interna de una clase subalterna organizada que puede generar inestabilidad suficiente para hacer más costoso el statu quo que la reforma, o la aparición dentro de la propia élite de una fracción con suficiente visión de largo plazo para entender qu</w:t>
      </w:r>
      <w:r>
        <w:t>e el saqueo sostenido destruye la base misma que lo hace posible.</w:t>
      </w:r>
    </w:p>
    <w:p w:rsidR="00494CA6" w:rsidRDefault="00494CA6">
      <w:pPr>
        <w:spacing w:line="480" w:lineRule="auto"/>
      </w:pPr>
    </w:p>
    <w:p w:rsidR="00494CA6" w:rsidRDefault="00595EA5" w:rsidP="00B4726F">
      <w:pPr>
        <w:spacing w:line="480" w:lineRule="auto"/>
        <w:jc w:val="both"/>
      </w:pPr>
      <w:r>
        <w:t>En Colombia, ninguno de los tres mecanismos ha funcionado de manera completa. La amenaza externa no existe porque la posición geopolítica del país —alejado de las fronteras donde se dirimen</w:t>
      </w:r>
      <w:r>
        <w:t xml:space="preserve"> las grandes rivalidades de poder— no produce la presión que obligó a los Estados europeos a construir aparatos fiscales y militares eficientes. La presión interna de las clases subalternas ha sido sistemáticamente canalizada hacia el clientelismo cuando s</w:t>
      </w:r>
      <w:r>
        <w:t>e vuelve institucional, o hacia la guerrilla cuando se vuelve radical —en ambos casos, sin producir la transformación institucional que prometía. Y la fracción ilustrada de la élite, cuando ha existido, ha sido absorbida o neutralizada por los incentivos d</w:t>
      </w:r>
      <w:r>
        <w:t>el sistema.</w:t>
      </w:r>
    </w:p>
    <w:p w:rsidR="00494CA6" w:rsidRDefault="00494CA6">
      <w:pPr>
        <w:spacing w:line="480" w:lineRule="auto"/>
      </w:pPr>
    </w:p>
    <w:p w:rsidR="00494CA6" w:rsidRDefault="00595EA5" w:rsidP="00B4726F">
      <w:pPr>
        <w:spacing w:line="480" w:lineRule="auto"/>
        <w:jc w:val="both"/>
      </w:pPr>
      <w:r>
        <w:lastRenderedPageBreak/>
        <w:t>Esto no lleva a la conclusión de que la transformación es imposible. Lleva a la conclusión de que no puede ser voluntaria: tiene que ser forzada por cambios en las condiciones de posibilidad de la extracción. Y eso exige identificar cuáles son</w:t>
      </w:r>
      <w:r>
        <w:t xml:space="preserve"> los mecanismos concretos que hoy hacen posible la extracción —la opacidad del gasto público, la debilidad de la justicia penal para los delitos de cuello blanco, la estructura del financiamiento electoral, la penetración narco del sistema político— y atac</w:t>
      </w:r>
      <w:r>
        <w:t>arlos directamente, sin la ilusión de que el debate cívico o la reforma constitucional son suficientes.</w:t>
      </w:r>
    </w:p>
    <w:p w:rsidR="00494CA6" w:rsidRDefault="00494CA6">
      <w:pPr>
        <w:spacing w:line="480" w:lineRule="auto"/>
      </w:pPr>
    </w:p>
    <w:p w:rsidR="00494CA6" w:rsidRDefault="00595EA5">
      <w:pPr>
        <w:spacing w:line="480" w:lineRule="auto"/>
        <w:jc w:val="center"/>
      </w:pPr>
      <w:r>
        <w:rPr>
          <w:b/>
          <w:bCs/>
        </w:rPr>
        <w:t>La Trampa del Legalismo</w:t>
      </w:r>
    </w:p>
    <w:p w:rsidR="00494CA6" w:rsidRDefault="00494CA6">
      <w:pPr>
        <w:spacing w:line="480" w:lineRule="auto"/>
      </w:pPr>
    </w:p>
    <w:p w:rsidR="00494CA6" w:rsidRDefault="00595EA5" w:rsidP="00B4726F">
      <w:pPr>
        <w:spacing w:line="480" w:lineRule="auto"/>
        <w:jc w:val="both"/>
      </w:pPr>
      <w:r>
        <w:t>Uno de los errores más costosos del pensamiento institucionalista latinoamericano es confundir el Estado de derecho con el gob</w:t>
      </w:r>
      <w:r>
        <w:t>ierno de los procedimientos. Esta confusión —que podríamos llamar el fetichismo legalista— produce una situación paradójica: cuanto más sofisticado se vuelve el sistema jurídico, más impune resulta su violación sistemática.</w:t>
      </w:r>
    </w:p>
    <w:p w:rsidR="00494CA6" w:rsidRDefault="00494CA6">
      <w:pPr>
        <w:spacing w:line="480" w:lineRule="auto"/>
      </w:pPr>
    </w:p>
    <w:p w:rsidR="00494CA6" w:rsidRDefault="00595EA5" w:rsidP="00B4726F">
      <w:pPr>
        <w:spacing w:line="480" w:lineRule="auto"/>
        <w:jc w:val="both"/>
      </w:pPr>
      <w:r>
        <w:t xml:space="preserve">Schmitt (1922) identificó el problema con precisión: la norma presupone una situación normal. El derecho no puede crear las condiciones de su propia aplicación. Alguien tiene que decidir cuándo existe la normalidad que hace posible aplicar la norma, y esa </w:t>
      </w:r>
      <w:r>
        <w:t>decisión es irreductiblemente política. En Colombia, esa decisión ha sido secuestrada de múltiples maneras: por las FARC en el sur y el oriente, por el ELN en el Catatumbo, por los carteles en el Pacífico, por las élites regionales en las zonas de su influ</w:t>
      </w:r>
      <w:r>
        <w:t>encia histórica.</w:t>
      </w:r>
    </w:p>
    <w:p w:rsidR="00494CA6" w:rsidRDefault="00494CA6">
      <w:pPr>
        <w:spacing w:line="480" w:lineRule="auto"/>
      </w:pPr>
    </w:p>
    <w:p w:rsidR="00494CA6" w:rsidRDefault="00595EA5" w:rsidP="00B4726F">
      <w:pPr>
        <w:spacing w:line="480" w:lineRule="auto"/>
        <w:jc w:val="both"/>
      </w:pPr>
      <w:r>
        <w:lastRenderedPageBreak/>
        <w:t>El legalismo como respuesta a este problema no es una solución; es una evasión. Decir que el problema de Colombia es la "impunidad" y que la solución es "fortalecer el sistema judicial" es verdad en el mismo sentido en que es verdad que e</w:t>
      </w:r>
      <w:r>
        <w:t xml:space="preserve">l problema de un enfermo terminal es la falta de salud. Identifica el </w:t>
      </w:r>
      <w:r w:rsidR="00B4726F">
        <w:t>síntoma,</w:t>
      </w:r>
      <w:r>
        <w:t xml:space="preserve"> pero no el mecanismo causal.</w:t>
      </w:r>
    </w:p>
    <w:p w:rsidR="00494CA6" w:rsidRDefault="00494CA6">
      <w:pPr>
        <w:spacing w:line="480" w:lineRule="auto"/>
      </w:pPr>
    </w:p>
    <w:p w:rsidR="00494CA6" w:rsidRDefault="00595EA5" w:rsidP="00B4726F">
      <w:pPr>
        <w:spacing w:line="480" w:lineRule="auto"/>
        <w:jc w:val="both"/>
      </w:pPr>
      <w:r>
        <w:t>Lo que falta no es más derecho. Falta voluntad política sostenida de hacer cumplir el derecho existente, aun cuando ese cumplimiento implique confli</w:t>
      </w:r>
      <w:r>
        <w:t>ctos con poderes establecidos —incluyendo los poderes económicos formalmente legales que han coexistido con el narcotráfico, la extorsión y la violencia porque esa coexistencia les resultaba funcionalmente conveniente.</w:t>
      </w:r>
    </w:p>
    <w:p w:rsidR="00494CA6" w:rsidRDefault="00494CA6">
      <w:pPr>
        <w:spacing w:line="480" w:lineRule="auto"/>
      </w:pPr>
    </w:p>
    <w:p w:rsidR="00494CA6" w:rsidRDefault="00595EA5">
      <w:pPr>
        <w:spacing w:line="480" w:lineRule="auto"/>
        <w:jc w:val="center"/>
      </w:pPr>
      <w:r>
        <w:rPr>
          <w:b/>
          <w:bCs/>
        </w:rPr>
        <w:t>La Geografía como Destino no Elegido</w:t>
      </w:r>
    </w:p>
    <w:p w:rsidR="00494CA6" w:rsidRDefault="00494CA6">
      <w:pPr>
        <w:spacing w:line="480" w:lineRule="auto"/>
      </w:pPr>
    </w:p>
    <w:p w:rsidR="00494CA6" w:rsidRDefault="00595EA5" w:rsidP="00B4726F">
      <w:pPr>
        <w:spacing w:line="480" w:lineRule="auto"/>
        <w:jc w:val="both"/>
      </w:pPr>
      <w:r>
        <w:t>Ningún análisis institucional que pretenda ser realista puede ignorar las condiciones materiales sobre las que opera la política. Colombia hereda una geografía que es, en términos de construcción estatal, una maldición estructural: tres ramales andinos q</w:t>
      </w:r>
      <w:r>
        <w:t xml:space="preserve">ue fragmentan el territorio en cuencas incomunicadas, extensas regiones de selva que hacen prohibitivamente costosa la presencia permanente del Estado, y dos costas que conectan el país con los mercados globales del contrabando y el narcotráfico antes que </w:t>
      </w:r>
      <w:r>
        <w:t>con la economía formal.</w:t>
      </w:r>
    </w:p>
    <w:p w:rsidR="00494CA6" w:rsidRDefault="00494CA6">
      <w:pPr>
        <w:spacing w:line="480" w:lineRule="auto"/>
      </w:pPr>
    </w:p>
    <w:p w:rsidR="00494CA6" w:rsidRDefault="00595EA5" w:rsidP="00B4726F">
      <w:pPr>
        <w:spacing w:line="480" w:lineRule="auto"/>
        <w:jc w:val="both"/>
      </w:pPr>
      <w:r>
        <w:t xml:space="preserve">Braudel (1949) enseñó que las estructuras geográficas operan en el tiempo largo, condicionando los márgenes de acción de las voluntades políticas de corto plazo. La fragmentación geográfica colombiana no explica todo, pero explica </w:t>
      </w:r>
      <w:r>
        <w:t xml:space="preserve">más de lo que el análisis político convencional —centrado en el diseño institucional y la cultura política— está dispuesto a reconocer. Los poderes </w:t>
      </w:r>
      <w:r>
        <w:lastRenderedPageBreak/>
        <w:t>locales que desafían al Estado central no son simplemente una anomalía de la voluntad política; son, en part</w:t>
      </w:r>
      <w:r>
        <w:t>e, la respuesta racional de comunidades que el Estado central nunca alcanzó de manera sostenida y que aprendieron a organizarse bajo otras lealtades.</w:t>
      </w:r>
    </w:p>
    <w:p w:rsidR="00494CA6" w:rsidRDefault="00494CA6">
      <w:pPr>
        <w:spacing w:line="480" w:lineRule="auto"/>
      </w:pPr>
    </w:p>
    <w:p w:rsidR="00494CA6" w:rsidRDefault="00595EA5" w:rsidP="00B4726F">
      <w:pPr>
        <w:spacing w:line="480" w:lineRule="auto"/>
        <w:jc w:val="both"/>
      </w:pPr>
      <w:r>
        <w:t>A esto se añade el factor del narcotráfico, que no es simplemente un problema de criminalidad doméstica s</w:t>
      </w:r>
      <w:r>
        <w:t xml:space="preserve">ino una expresión local de una economía política global. El flujo de capital que genera el mercado norteamericano y europeo de cocaína supera con creces la capacidad fiscal del Estado colombiano en las regiones donde ese flujo se concentra. No hay reforma </w:t>
      </w:r>
      <w:r>
        <w:t>judicial ni fortalecimiento policial que sea competitivo con una fuente de ingresos que puede ofrecer a los jóvenes de las regiones periféricas diez veces el salario que el mercado formal les ofrecería. La pregunta de por qué el Estado colombiano no contro</w:t>
      </w:r>
      <w:r>
        <w:t>la su territorio es, en parte, una pregunta de economía política global que no tiene respuesta en el rediseño institucional doméstico.</w:t>
      </w:r>
    </w:p>
    <w:p w:rsidR="00494CA6" w:rsidRDefault="00494CA6">
      <w:pPr>
        <w:spacing w:line="480" w:lineRule="auto"/>
      </w:pPr>
    </w:p>
    <w:p w:rsidR="00494CA6" w:rsidRDefault="00595EA5" w:rsidP="00B4726F">
      <w:pPr>
        <w:spacing w:line="480" w:lineRule="auto"/>
        <w:jc w:val="both"/>
      </w:pPr>
      <w:r>
        <w:t>Esto no conduce al determinismo geográfico ni a la resignación. Conduce a la conclusión de que la transformación institu</w:t>
      </w:r>
      <w:r>
        <w:t>cional colombiana requiere simultáneamente condiciones internas que el análisis político puede abordar y condiciones externas —principalmente, una transformación de la política global de drogas— que Colombia no controla. Ignorar las segundas al hablar de l</w:t>
      </w:r>
      <w:r>
        <w:t>as primeras no es rigor analítico; es optimismo voluntarista disfrazado de realismo.</w:t>
      </w:r>
    </w:p>
    <w:p w:rsidR="00494CA6" w:rsidRDefault="00494CA6">
      <w:pPr>
        <w:spacing w:line="480" w:lineRule="auto"/>
      </w:pPr>
    </w:p>
    <w:p w:rsidR="00494CA6" w:rsidRDefault="00595EA5">
      <w:pPr>
        <w:spacing w:line="480" w:lineRule="auto"/>
        <w:jc w:val="center"/>
      </w:pPr>
      <w:r>
        <w:rPr>
          <w:b/>
          <w:bCs/>
        </w:rPr>
        <w:t>El Falso Dilema entre Autoritarismo y Debilidad</w:t>
      </w:r>
    </w:p>
    <w:p w:rsidR="00494CA6" w:rsidRDefault="00494CA6">
      <w:pPr>
        <w:spacing w:line="480" w:lineRule="auto"/>
      </w:pPr>
    </w:p>
    <w:p w:rsidR="00494CA6" w:rsidRDefault="00595EA5" w:rsidP="00B4726F">
      <w:pPr>
        <w:spacing w:line="480" w:lineRule="auto"/>
        <w:jc w:val="both"/>
      </w:pPr>
      <w:r>
        <w:lastRenderedPageBreak/>
        <w:t xml:space="preserve">El pensamiento político colombiano tiende a caer en una trampa binaria: o el orden fuerte y represivo de los períodos de </w:t>
      </w:r>
      <w:r>
        <w:t>Estado de Sitio, o la apertura democrática que produce ingobernabilidad. Esta dicotomía es falsa, y su falsedad ha costado décadas de desarrollo perdido.</w:t>
      </w:r>
    </w:p>
    <w:p w:rsidR="00494CA6" w:rsidRDefault="00494CA6">
      <w:pPr>
        <w:spacing w:line="480" w:lineRule="auto"/>
      </w:pPr>
    </w:p>
    <w:p w:rsidR="00494CA6" w:rsidRDefault="00595EA5" w:rsidP="00B4726F">
      <w:pPr>
        <w:spacing w:line="480" w:lineRule="auto"/>
        <w:jc w:val="both"/>
      </w:pPr>
      <w:r>
        <w:t>Existe una tercera vía que no es ni el autoritarismo desnudo ni el liberalismo sin columna vertebral:</w:t>
      </w:r>
      <w:r>
        <w:t xml:space="preserve"> es la autoridad legítima, ejercida dentro de instituciones que tienen contenido sustantivo, respaldadas por una clase dirigente que comprende que el orden no es el enemigo de la libertad sino su precondición. De Tocqueville (1835) lo entendía cuando obser</w:t>
      </w:r>
      <w:r>
        <w:t>vaba que la libertad duradera no se construye sobre la debilidad del gobierno sino sobre su legitimidad.</w:t>
      </w:r>
    </w:p>
    <w:p w:rsidR="00494CA6" w:rsidRDefault="00494CA6">
      <w:pPr>
        <w:spacing w:line="480" w:lineRule="auto"/>
      </w:pPr>
    </w:p>
    <w:p w:rsidR="00494CA6" w:rsidRDefault="00595EA5" w:rsidP="00B4726F">
      <w:pPr>
        <w:spacing w:line="480" w:lineRule="auto"/>
        <w:jc w:val="both"/>
      </w:pPr>
      <w:r>
        <w:t>Sin embargo, hay que ser precisos sobre lo que significa "autoridad legítima" en el contexto latinoamericano del siglo XXI. No puede significar simple</w:t>
      </w:r>
      <w:r>
        <w:t>mente un Estado más coercitivo, porque la coerción sin legitimidad es autoritarismo, y el autoritarismo latinoamericano del siglo XX demostró que puede ser tan destructivo de la institucionalidad como la debilidad estatal. Tampoco puede significar la reduc</w:t>
      </w:r>
      <w:r>
        <w:t>ción del Estado a un árbitro procedimental que se abstiene de ejercer juicio sustantivo sobre los grandes conflictos sociales, porque esa abstención no produce neutralidad sino captura por el actor más poderoso.</w:t>
      </w:r>
    </w:p>
    <w:p w:rsidR="00494CA6" w:rsidRDefault="00494CA6">
      <w:pPr>
        <w:spacing w:line="480" w:lineRule="auto"/>
      </w:pPr>
    </w:p>
    <w:p w:rsidR="00494CA6" w:rsidRDefault="00595EA5" w:rsidP="00B4726F">
      <w:pPr>
        <w:spacing w:line="480" w:lineRule="auto"/>
        <w:jc w:val="both"/>
      </w:pPr>
      <w:r>
        <w:t>Lo que se requiere es un Estado con capacid</w:t>
      </w:r>
      <w:r>
        <w:t>ad de establecer jerarquías: de decidir qué usos del territorio son compatibles con el proyecto nacional y cuáles no, qué actores tienen legitimidad para participar en el proceso político y bajo qué condiciones, qué niveles de desigualdad son compatibles c</w:t>
      </w:r>
      <w:r>
        <w:t xml:space="preserve">on la cohesión social mínima que el orden requiere. Estas son decisiones sustantivas, </w:t>
      </w:r>
      <w:r>
        <w:lastRenderedPageBreak/>
        <w:t>no procedimentales, y exigen una clase política dispuesta a tomarlas asumiendo los costos de la confrontación con los intereses afectados.</w:t>
      </w:r>
    </w:p>
    <w:p w:rsidR="00494CA6" w:rsidRDefault="00494CA6">
      <w:pPr>
        <w:spacing w:line="480" w:lineRule="auto"/>
      </w:pPr>
    </w:p>
    <w:p w:rsidR="00494CA6" w:rsidRDefault="00595EA5">
      <w:pPr>
        <w:spacing w:line="480" w:lineRule="auto"/>
        <w:jc w:val="center"/>
      </w:pPr>
      <w:r>
        <w:rPr>
          <w:b/>
          <w:bCs/>
        </w:rPr>
        <w:t xml:space="preserve">El Gradualismo y sus Límites: </w:t>
      </w:r>
      <w:proofErr w:type="spellStart"/>
      <w:r>
        <w:rPr>
          <w:b/>
          <w:bCs/>
        </w:rPr>
        <w:t>Oakeshott</w:t>
      </w:r>
      <w:proofErr w:type="spellEnd"/>
      <w:r>
        <w:rPr>
          <w:b/>
          <w:bCs/>
        </w:rPr>
        <w:t xml:space="preserve"> en Territorio </w:t>
      </w:r>
      <w:proofErr w:type="spellStart"/>
      <w:r>
        <w:rPr>
          <w:b/>
          <w:bCs/>
        </w:rPr>
        <w:t>Schmittiano</w:t>
      </w:r>
      <w:proofErr w:type="spellEnd"/>
    </w:p>
    <w:p w:rsidR="00494CA6" w:rsidRDefault="00494CA6">
      <w:pPr>
        <w:spacing w:line="480" w:lineRule="auto"/>
      </w:pPr>
    </w:p>
    <w:p w:rsidR="00494CA6" w:rsidRDefault="00595EA5" w:rsidP="00B4726F">
      <w:pPr>
        <w:spacing w:line="480" w:lineRule="auto"/>
        <w:jc w:val="both"/>
      </w:pPr>
      <w:r>
        <w:t xml:space="preserve">La prudencia política de </w:t>
      </w:r>
      <w:proofErr w:type="spellStart"/>
      <w:r>
        <w:t>Oakeshott</w:t>
      </w:r>
      <w:proofErr w:type="spellEnd"/>
      <w:r>
        <w:t xml:space="preserve"> (1962) tiene un presupuesto que raramente se hace explícito: funciona en sociedades donde existe un orden basal suficientemente estable para que el gradua</w:t>
      </w:r>
      <w:r>
        <w:t>lismo sea una opción real. El conservadurismo</w:t>
      </w:r>
      <w:r w:rsidR="00B4726F">
        <w:t xml:space="preserve"> </w:t>
      </w:r>
      <w:proofErr w:type="spellStart"/>
      <w:r>
        <w:t>oakeshottiano</w:t>
      </w:r>
      <w:proofErr w:type="spellEnd"/>
      <w:r>
        <w:t xml:space="preserve"> es una filosofía del mantenimiento, de la corrección incremental, del respeto por los acuerdos que el tiempo ha sedimentado. Es una filosofía que tiene sentido en Inglaterra, donde la continuidad </w:t>
      </w:r>
      <w:r>
        <w:t>institucional se remonta siglos, donde el conflicto político se dirime dentro de reglas aceptadas por todos los actores principales.</w:t>
      </w:r>
    </w:p>
    <w:p w:rsidR="00494CA6" w:rsidRDefault="00494CA6">
      <w:pPr>
        <w:spacing w:line="480" w:lineRule="auto"/>
      </w:pPr>
    </w:p>
    <w:p w:rsidR="00494CA6" w:rsidRDefault="00595EA5" w:rsidP="00B4726F">
      <w:pPr>
        <w:spacing w:line="480" w:lineRule="auto"/>
        <w:jc w:val="both"/>
      </w:pPr>
      <w:r>
        <w:t xml:space="preserve">En Colombia, aplicar el gradualismo de </w:t>
      </w:r>
      <w:proofErr w:type="spellStart"/>
      <w:r>
        <w:t>Oakeshott</w:t>
      </w:r>
      <w:proofErr w:type="spellEnd"/>
      <w:r>
        <w:t xml:space="preserve"> en las regiones donde el ELN cobra vacunas, donde los carteles controlan </w:t>
      </w:r>
      <w:r>
        <w:t xml:space="preserve">el precio de la tierra, donde el Estado llega en helicóptero y se va antes de oscurecer, no es prudencia política; es abdicación. La pregunta </w:t>
      </w:r>
      <w:proofErr w:type="spellStart"/>
      <w:r>
        <w:t>schmittiana</w:t>
      </w:r>
      <w:proofErr w:type="spellEnd"/>
      <w:r>
        <w:t xml:space="preserve"> —¿quién decide en el estado de</w:t>
      </w:r>
      <w:r>
        <w:t xml:space="preserve"> </w:t>
      </w:r>
      <w:r w:rsidR="00B4726F">
        <w:t>excepción? —</w:t>
      </w:r>
      <w:r>
        <w:t xml:space="preserve"> no puede responderse con el lento escepticismo </w:t>
      </w:r>
      <w:proofErr w:type="spellStart"/>
      <w:r>
        <w:t>oakeshottian</w:t>
      </w:r>
      <w:r>
        <w:t>o</w:t>
      </w:r>
      <w:proofErr w:type="spellEnd"/>
      <w:r>
        <w:t xml:space="preserve"> porque el estado de excepción no espera. Cuando la soberanía está en disputa activa, la prudencia de no actuar bruscamente es funcionalmente equivalente a ceder.</w:t>
      </w:r>
    </w:p>
    <w:p w:rsidR="00494CA6" w:rsidRDefault="00494CA6">
      <w:pPr>
        <w:spacing w:line="480" w:lineRule="auto"/>
      </w:pPr>
    </w:p>
    <w:p w:rsidR="00494CA6" w:rsidRDefault="00595EA5" w:rsidP="00B4726F">
      <w:pPr>
        <w:spacing w:line="480" w:lineRule="auto"/>
        <w:jc w:val="both"/>
      </w:pPr>
      <w:proofErr w:type="gramStart"/>
      <w:r>
        <w:t>Y</w:t>
      </w:r>
      <w:proofErr w:type="gramEnd"/>
      <w:r>
        <w:t xml:space="preserve"> sin embargo, el exceso </w:t>
      </w:r>
      <w:proofErr w:type="spellStart"/>
      <w:r>
        <w:t>schmittiano</w:t>
      </w:r>
      <w:proofErr w:type="spellEnd"/>
      <w:r>
        <w:t xml:space="preserve"> tiene su propio peligro: la decisión soberana sin ancl</w:t>
      </w:r>
      <w:r>
        <w:t xml:space="preserve">aje normativo puede producir el orden, pero no necesariamente el orden legítimo. La historia latinoamericana está llena de soberanos que decidieron sobre la excepción y construyeron un orden </w:t>
      </w:r>
      <w:r>
        <w:lastRenderedPageBreak/>
        <w:t>que solo era funcional para quienes ya tenían poder. Pinochet dec</w:t>
      </w:r>
      <w:r>
        <w:t>idió. Fujimori decidió. El orden que construyeron no era institucionalidad; era la voluntad de una facción disfrazada de Estado.</w:t>
      </w:r>
    </w:p>
    <w:p w:rsidR="00494CA6" w:rsidRDefault="00494CA6">
      <w:pPr>
        <w:spacing w:line="480" w:lineRule="auto"/>
      </w:pPr>
    </w:p>
    <w:p w:rsidR="00494CA6" w:rsidRDefault="00595EA5" w:rsidP="00B4726F">
      <w:pPr>
        <w:spacing w:line="480" w:lineRule="auto"/>
        <w:jc w:val="both"/>
      </w:pPr>
      <w:r>
        <w:t>La salida de esta tensión no es sintética ni elegante. Es reconocer que distintas regiones y distintos problemas del Estado co</w:t>
      </w:r>
      <w:r>
        <w:t>lombiano requieren respuestas en distintas escalas temporales. Donde la soberanía está en disputa armada activa, el gradualismo es un lujo que no existe: se requiere decisión, concentración de recursos, y disposición a usar la fuerza del Estado de manera s</w:t>
      </w:r>
      <w:r>
        <w:t xml:space="preserve">ostenida hasta que el monopolio de la violencia sea una realidad territorial y no solo una categoría jurídica. Donde el Estado </w:t>
      </w:r>
      <w:proofErr w:type="gramStart"/>
      <w:r>
        <w:t>existe</w:t>
      </w:r>
      <w:proofErr w:type="gramEnd"/>
      <w:r>
        <w:t xml:space="preserve"> pero está capturado por intereses particulares, el gradualismo </w:t>
      </w:r>
      <w:proofErr w:type="spellStart"/>
      <w:r>
        <w:t>oakeshottiano</w:t>
      </w:r>
      <w:proofErr w:type="spellEnd"/>
      <w:r>
        <w:t xml:space="preserve"> tiene más sentido: los cambios demasiado brus</w:t>
      </w:r>
      <w:r>
        <w:t>cos producen resistencia y retroceso, y la transformación de la cultura institucional es necesariamente lenta.</w:t>
      </w:r>
    </w:p>
    <w:p w:rsidR="00494CA6" w:rsidRDefault="00494CA6">
      <w:pPr>
        <w:spacing w:line="480" w:lineRule="auto"/>
      </w:pPr>
    </w:p>
    <w:p w:rsidR="00494CA6" w:rsidRDefault="00595EA5" w:rsidP="00B4726F">
      <w:pPr>
        <w:spacing w:line="480" w:lineRule="auto"/>
        <w:jc w:val="both"/>
      </w:pPr>
      <w:r>
        <w:t xml:space="preserve">Administrar esa dualidad —actuar con urgencia donde el orden no existe, actuar con paciencia donde el orden </w:t>
      </w:r>
      <w:proofErr w:type="gramStart"/>
      <w:r>
        <w:t>existe</w:t>
      </w:r>
      <w:proofErr w:type="gramEnd"/>
      <w:r>
        <w:t xml:space="preserve"> pero está distorsionado— requ</w:t>
      </w:r>
      <w:r>
        <w:t>iere una clase política con la madurez analítica para distinguir los dos escenarios y la fortaleza institucional para aplicar respuestas diferenciadas sin que la distinción sea instrumentalizada por los poderes que se benefician del statu quo en cada regió</w:t>
      </w:r>
      <w:r>
        <w:t>n.</w:t>
      </w:r>
    </w:p>
    <w:p w:rsidR="00494CA6" w:rsidRDefault="00494CA6">
      <w:pPr>
        <w:spacing w:line="480" w:lineRule="auto"/>
      </w:pPr>
    </w:p>
    <w:p w:rsidR="00494CA6" w:rsidRDefault="00595EA5">
      <w:pPr>
        <w:spacing w:line="480" w:lineRule="auto"/>
        <w:jc w:val="center"/>
      </w:pPr>
      <w:r>
        <w:rPr>
          <w:b/>
          <w:bCs/>
        </w:rPr>
        <w:t>La Legitimidad en la Era de las Expectativas Expandidas</w:t>
      </w:r>
    </w:p>
    <w:p w:rsidR="00494CA6" w:rsidRDefault="00494CA6">
      <w:pPr>
        <w:spacing w:line="480" w:lineRule="auto"/>
      </w:pPr>
    </w:p>
    <w:p w:rsidR="00494CA6" w:rsidRDefault="00595EA5" w:rsidP="00B4726F">
      <w:pPr>
        <w:spacing w:line="480" w:lineRule="auto"/>
        <w:jc w:val="both"/>
      </w:pPr>
      <w:r>
        <w:t>El Estado que el análisis político conservador imagina —austero en sus promesas, riguroso en su cumplimiento, sin el exceso de derechos que la Constitución del 91 generó— se enfrenta a una condic</w:t>
      </w:r>
      <w:r>
        <w:t xml:space="preserve">ión histórica que ningún diseño institucional puede ignorar: las expectativas de las </w:t>
      </w:r>
      <w:r>
        <w:lastRenderedPageBreak/>
        <w:t>poblaciones en el siglo XXI no se pueden comprimir de vuelta a los niveles del siglo XIX sin producir una crisis de legitimidad que destruye el orden que se pretende const</w:t>
      </w:r>
      <w:r>
        <w:t>ruir.</w:t>
      </w:r>
    </w:p>
    <w:p w:rsidR="00494CA6" w:rsidRDefault="00494CA6">
      <w:pPr>
        <w:spacing w:line="480" w:lineRule="auto"/>
      </w:pPr>
    </w:p>
    <w:p w:rsidR="00494CA6" w:rsidRDefault="00595EA5" w:rsidP="00B4726F">
      <w:pPr>
        <w:spacing w:line="480" w:lineRule="auto"/>
        <w:jc w:val="both"/>
      </w:pPr>
      <w:r>
        <w:t>La Constitución del 91 no fue solo un ejercicio de ingeniería legal. Fue también una respuesta política a décadas de violencia y exclusión, un intento de producir legitimidad mediante la incorporación de demandas que el sistema anterior había bloque</w:t>
      </w:r>
      <w:r>
        <w:t>ado sistemáticamente. Que ese intento haya producido una inflación de derechos que el Estado no puede satisfacer es un problema real; pero el diagnóstico correcto no es regresar a un Estado más austero en sus promesas sin más. Es entender que la legitimida</w:t>
      </w:r>
      <w:r>
        <w:t>d en democracias contemporáneas se construye mediante la capacidad demostrada de cumplir compromisos, no mediante la reducción de los compromisos a niveles que el Estado pueda administrar fácilmente.</w:t>
      </w:r>
    </w:p>
    <w:p w:rsidR="00494CA6" w:rsidRDefault="00494CA6">
      <w:pPr>
        <w:spacing w:line="480" w:lineRule="auto"/>
      </w:pPr>
    </w:p>
    <w:p w:rsidR="00494CA6" w:rsidRDefault="00595EA5" w:rsidP="00B4726F">
      <w:pPr>
        <w:spacing w:line="480" w:lineRule="auto"/>
        <w:jc w:val="both"/>
      </w:pPr>
      <w:r>
        <w:t>Lo que el Estado colombiano necesita no es prometer menos; es construir la capacidad de cumplir más. Esa distinción no es semántica. Un Estado que reduce sus promesas en contextos de alta desigualdad produce, inevitablemente, el espacio político que llenan</w:t>
      </w:r>
      <w:r>
        <w:t xml:space="preserve"> los populismos de derecha o de izquierda que prometen cumplir lo que el Estado austero abandonó. La historia de América Latina en el siglo XX y XXI es, en gran medida, la historia de cómo el Estado liberal que no pudo o no quiso satisfacer las demandas de</w:t>
      </w:r>
      <w:r>
        <w:t xml:space="preserve"> los sectores excluidos cedió el terreno al caudillo o al movimiento que prometió hacerlo fuera de las reglas institucionales.</w:t>
      </w:r>
    </w:p>
    <w:p w:rsidR="00494CA6" w:rsidRDefault="00494CA6">
      <w:pPr>
        <w:spacing w:line="480" w:lineRule="auto"/>
      </w:pPr>
    </w:p>
    <w:p w:rsidR="00494CA6" w:rsidRDefault="00595EA5" w:rsidP="00B4726F">
      <w:pPr>
        <w:spacing w:line="480" w:lineRule="auto"/>
        <w:jc w:val="both"/>
      </w:pPr>
      <w:r>
        <w:t>La autoridad legítima en el siglo XXI no puede construirse ignorando esta dinámica. Tiene que encontrar la manera de producir re</w:t>
      </w:r>
      <w:r>
        <w:t xml:space="preserve">sultados concretos —seguridad, movilidad social, provisión de </w:t>
      </w:r>
      <w:r>
        <w:lastRenderedPageBreak/>
        <w:t>servicios básicos— sin los cuales el discurso del orden y la institucionalidad es percibido, correctamente, como la retórica de los que ya tienen y no quieren redistribuir.</w:t>
      </w:r>
    </w:p>
    <w:p w:rsidR="00494CA6" w:rsidRDefault="00494CA6">
      <w:pPr>
        <w:spacing w:line="480" w:lineRule="auto"/>
      </w:pPr>
    </w:p>
    <w:p w:rsidR="00494CA6" w:rsidRDefault="00595EA5">
      <w:pPr>
        <w:spacing w:line="480" w:lineRule="auto"/>
        <w:jc w:val="center"/>
      </w:pPr>
      <w:r>
        <w:rPr>
          <w:b/>
          <w:bCs/>
        </w:rPr>
        <w:t>Conclusión: El Orden</w:t>
      </w:r>
      <w:r>
        <w:rPr>
          <w:b/>
          <w:bCs/>
        </w:rPr>
        <w:t xml:space="preserve"> como Imperativo Político</w:t>
      </w:r>
    </w:p>
    <w:p w:rsidR="00494CA6" w:rsidRDefault="00494CA6">
      <w:pPr>
        <w:spacing w:line="480" w:lineRule="auto"/>
      </w:pPr>
    </w:p>
    <w:p w:rsidR="00494CA6" w:rsidRDefault="00595EA5" w:rsidP="00B4726F">
      <w:pPr>
        <w:spacing w:line="480" w:lineRule="auto"/>
        <w:jc w:val="both"/>
      </w:pPr>
      <w:r>
        <w:t>El problema de Colombia no admite una solución que resuelva todas sus tensiones internas de manera simultánea y coherente. Pero reconocer la complejidad estructural del problema no es lo mismo que aceptar el statu quo como destin</w:t>
      </w:r>
      <w:r>
        <w:t>o inevitable. Es precisamente aquí donde la perspectiva nacionalista aporta lo que el institucionalismo liberal no puede ofrecer: la voluntad de nombrar al enemigo del orden, de identificar los intereses que se benefician de la fragmentación, y de subordin</w:t>
      </w:r>
      <w:r>
        <w:t>ar el procedimentalismo jurídico a la recuperación efectiva de la soberanía nacional.</w:t>
      </w:r>
    </w:p>
    <w:p w:rsidR="00494CA6" w:rsidRDefault="00494CA6">
      <w:pPr>
        <w:spacing w:line="480" w:lineRule="auto"/>
      </w:pPr>
    </w:p>
    <w:p w:rsidR="00494CA6" w:rsidRDefault="00595EA5" w:rsidP="00B4726F">
      <w:pPr>
        <w:spacing w:line="480" w:lineRule="auto"/>
        <w:jc w:val="both"/>
      </w:pPr>
      <w:r>
        <w:t>La institucionalidad colombiana no se reconstruye desde los tribunales ni desde las asambleas constituyentes. Se reconstruye desde la voluntad política de un proyecto nacional que tenga claridad sobre lo que Colombia es y sobre lo que no está dispuesto a t</w:t>
      </w:r>
      <w:r>
        <w:t xml:space="preserve">olerar en su territorio. Eso exige decisión </w:t>
      </w:r>
      <w:proofErr w:type="spellStart"/>
      <w:r>
        <w:t>schmittiana</w:t>
      </w:r>
      <w:proofErr w:type="spellEnd"/>
      <w:r>
        <w:t xml:space="preserve"> donde el orden está en disputa armada activa, transformación de los incentivos que premian la élite extractiva, y la construcción de una legitimidad que no se funde en la inflación de promesas que el </w:t>
      </w:r>
      <w:r>
        <w:t>Estado no puede cumplir, sino en resultados concretos que demuestren que el orden sirve a la nación y no a sus depredadores.</w:t>
      </w:r>
    </w:p>
    <w:p w:rsidR="00494CA6" w:rsidRDefault="00494CA6">
      <w:pPr>
        <w:spacing w:line="480" w:lineRule="auto"/>
      </w:pPr>
    </w:p>
    <w:p w:rsidR="00494CA6" w:rsidRDefault="00595EA5" w:rsidP="00B4726F">
      <w:pPr>
        <w:spacing w:line="480" w:lineRule="auto"/>
        <w:jc w:val="both"/>
      </w:pPr>
      <w:r>
        <w:t>El nacionalismo no es nostalgia ni xenofobia; es la afirmación de que existe un proyecto colectivo que merece ser defendido con lo</w:t>
      </w:r>
      <w:r>
        <w:t xml:space="preserve">s instrumentos del poder real, no con los del derecho imaginario. Mientras Colombia no tenga una clase dirigente —o un movimiento político con suficiente </w:t>
      </w:r>
      <w:r>
        <w:lastRenderedPageBreak/>
        <w:t>fuerza— dispuesta a asumir ese proyecto con todas sus implicaciones, las instituciones seguirán siendo</w:t>
      </w:r>
      <w:r>
        <w:t xml:space="preserve"> el escenario donde distintos poderes negocian la captura del Estado. La alternativa no es esperar que el sistema se reforme desde adentro. Es construir desde afuera la presión que lo obligue.</w:t>
      </w:r>
    </w:p>
    <w:p w:rsidR="00494CA6" w:rsidRDefault="00494CA6">
      <w:pPr>
        <w:spacing w:line="480" w:lineRule="auto"/>
      </w:pPr>
    </w:p>
    <w:p w:rsidR="00494CA6" w:rsidRDefault="00595EA5">
      <w:pPr>
        <w:spacing w:line="480" w:lineRule="auto"/>
        <w:jc w:val="center"/>
      </w:pPr>
      <w:r>
        <w:rPr>
          <w:b/>
          <w:bCs/>
        </w:rPr>
        <w:t>Referencias</w:t>
      </w:r>
    </w:p>
    <w:p w:rsidR="00494CA6" w:rsidRDefault="00494CA6">
      <w:pPr>
        <w:spacing w:line="480" w:lineRule="auto"/>
      </w:pPr>
    </w:p>
    <w:p w:rsidR="00494CA6" w:rsidRDefault="00595EA5" w:rsidP="00B4726F">
      <w:pPr>
        <w:spacing w:line="480" w:lineRule="auto"/>
        <w:ind w:left="1416" w:hanging="1416"/>
        <w:jc w:val="both"/>
      </w:pPr>
      <w:proofErr w:type="spellStart"/>
      <w:r>
        <w:t>Acemoglu</w:t>
      </w:r>
      <w:proofErr w:type="spellEnd"/>
      <w:r>
        <w:t xml:space="preserve">, D., &amp; Robinson, J. A. (2012). </w:t>
      </w:r>
      <w:proofErr w:type="spellStart"/>
      <w:r>
        <w:t>Why</w:t>
      </w:r>
      <w:proofErr w:type="spellEnd"/>
      <w:r>
        <w:t xml:space="preserve"> </w:t>
      </w:r>
      <w:proofErr w:type="spellStart"/>
      <w:r>
        <w:t>natio</w:t>
      </w:r>
      <w:r>
        <w:t>ns</w:t>
      </w:r>
      <w:proofErr w:type="spellEnd"/>
      <w:r>
        <w:t xml:space="preserve"> </w:t>
      </w:r>
      <w:proofErr w:type="spellStart"/>
      <w:r>
        <w:t>fail</w:t>
      </w:r>
      <w:proofErr w:type="spellEnd"/>
      <w:r>
        <w:t xml:space="preserve">: </w:t>
      </w:r>
      <w:proofErr w:type="spellStart"/>
      <w:r>
        <w:t>The</w:t>
      </w:r>
      <w:proofErr w:type="spellEnd"/>
      <w:r>
        <w:t xml:space="preserve"> </w:t>
      </w:r>
      <w:proofErr w:type="spellStart"/>
      <w:r>
        <w:t>origins</w:t>
      </w:r>
      <w:proofErr w:type="spellEnd"/>
      <w:r>
        <w:t xml:space="preserve"> </w:t>
      </w:r>
      <w:proofErr w:type="spellStart"/>
      <w:r>
        <w:t>of</w:t>
      </w:r>
      <w:proofErr w:type="spellEnd"/>
      <w:r>
        <w:t xml:space="preserve"> </w:t>
      </w:r>
      <w:proofErr w:type="spellStart"/>
      <w:r>
        <w:t>power</w:t>
      </w:r>
      <w:proofErr w:type="spellEnd"/>
      <w:r>
        <w:t xml:space="preserve">, </w:t>
      </w:r>
      <w:proofErr w:type="spellStart"/>
      <w:r>
        <w:t>prosperity</w:t>
      </w:r>
      <w:proofErr w:type="spellEnd"/>
      <w:r>
        <w:t xml:space="preserve">, and </w:t>
      </w:r>
      <w:proofErr w:type="spellStart"/>
      <w:r>
        <w:t>poverty</w:t>
      </w:r>
      <w:proofErr w:type="spellEnd"/>
      <w:r>
        <w:t>. Crown.</w:t>
      </w:r>
    </w:p>
    <w:p w:rsidR="00494CA6" w:rsidRDefault="00494CA6">
      <w:pPr>
        <w:spacing w:line="480" w:lineRule="auto"/>
      </w:pPr>
    </w:p>
    <w:p w:rsidR="00494CA6" w:rsidRDefault="00595EA5">
      <w:pPr>
        <w:spacing w:line="480" w:lineRule="auto"/>
        <w:ind w:left="720" w:hanging="720"/>
        <w:jc w:val="both"/>
      </w:pPr>
      <w:r>
        <w:t>Ávila Martínez, A. F. (2019). Detrás de la guerra en Colombia. Planeta.</w:t>
      </w:r>
    </w:p>
    <w:p w:rsidR="00494CA6" w:rsidRDefault="00494CA6">
      <w:pPr>
        <w:spacing w:line="480" w:lineRule="auto"/>
      </w:pPr>
    </w:p>
    <w:p w:rsidR="00494CA6" w:rsidRDefault="00595EA5">
      <w:pPr>
        <w:spacing w:line="480" w:lineRule="auto"/>
        <w:ind w:left="720" w:hanging="720"/>
        <w:jc w:val="both"/>
      </w:pPr>
      <w:r>
        <w:t xml:space="preserve">Braudel, F. (1949). La </w:t>
      </w:r>
      <w:proofErr w:type="spellStart"/>
      <w:r>
        <w:t>Méditerranée</w:t>
      </w:r>
      <w:proofErr w:type="spellEnd"/>
      <w:r>
        <w:t xml:space="preserve"> et le monde </w:t>
      </w:r>
      <w:proofErr w:type="spellStart"/>
      <w:r>
        <w:t>méditerranéen</w:t>
      </w:r>
      <w:proofErr w:type="spellEnd"/>
      <w:r>
        <w:t xml:space="preserve"> à </w:t>
      </w:r>
      <w:proofErr w:type="spellStart"/>
      <w:r>
        <w:t>l'époque</w:t>
      </w:r>
      <w:proofErr w:type="spellEnd"/>
      <w:r>
        <w:t xml:space="preserve"> de Philippe II. Armand</w:t>
      </w:r>
      <w:r w:rsidR="00B4726F">
        <w:t xml:space="preserve"> </w:t>
      </w:r>
      <w:r>
        <w:t>Colin.</w:t>
      </w:r>
    </w:p>
    <w:p w:rsidR="00494CA6" w:rsidRDefault="00494CA6">
      <w:pPr>
        <w:spacing w:line="480" w:lineRule="auto"/>
      </w:pPr>
    </w:p>
    <w:p w:rsidR="00494CA6" w:rsidRDefault="00595EA5">
      <w:pPr>
        <w:spacing w:line="480" w:lineRule="auto"/>
        <w:ind w:left="720" w:hanging="720"/>
        <w:jc w:val="both"/>
      </w:pPr>
      <w:proofErr w:type="spellStart"/>
      <w:r>
        <w:t>Burke</w:t>
      </w:r>
      <w:proofErr w:type="spellEnd"/>
      <w:r>
        <w:t>, E. (1790</w:t>
      </w:r>
      <w:r>
        <w:t xml:space="preserve">). </w:t>
      </w:r>
      <w:proofErr w:type="spellStart"/>
      <w:r>
        <w:t>Reflections</w:t>
      </w:r>
      <w:proofErr w:type="spellEnd"/>
      <w:r>
        <w:t xml:space="preserve"> </w:t>
      </w:r>
      <w:proofErr w:type="spellStart"/>
      <w:r>
        <w:t>on</w:t>
      </w:r>
      <w:proofErr w:type="spellEnd"/>
      <w:r>
        <w:t xml:space="preserve"> </w:t>
      </w:r>
      <w:proofErr w:type="spellStart"/>
      <w:r>
        <w:t>the</w:t>
      </w:r>
      <w:proofErr w:type="spellEnd"/>
      <w:r>
        <w:t xml:space="preserve"> </w:t>
      </w:r>
      <w:proofErr w:type="spellStart"/>
      <w:r>
        <w:t>revolution</w:t>
      </w:r>
      <w:proofErr w:type="spellEnd"/>
      <w:r>
        <w:t xml:space="preserve"> in France. </w:t>
      </w:r>
      <w:proofErr w:type="spellStart"/>
      <w:r>
        <w:t>Dodsley</w:t>
      </w:r>
      <w:proofErr w:type="spellEnd"/>
      <w:r>
        <w:t>.</w:t>
      </w:r>
    </w:p>
    <w:p w:rsidR="00494CA6" w:rsidRDefault="00494CA6">
      <w:pPr>
        <w:spacing w:line="480" w:lineRule="auto"/>
      </w:pPr>
    </w:p>
    <w:p w:rsidR="00494CA6" w:rsidRDefault="00595EA5">
      <w:pPr>
        <w:spacing w:line="480" w:lineRule="auto"/>
        <w:ind w:left="720" w:hanging="720"/>
        <w:jc w:val="both"/>
      </w:pPr>
      <w:r>
        <w:t xml:space="preserve">de Tocqueville, A. (1835). De la </w:t>
      </w:r>
      <w:proofErr w:type="spellStart"/>
      <w:r>
        <w:t>démocratie</w:t>
      </w:r>
      <w:proofErr w:type="spellEnd"/>
      <w:r>
        <w:t xml:space="preserve"> en </w:t>
      </w:r>
      <w:proofErr w:type="spellStart"/>
      <w:r>
        <w:t>Amérique</w:t>
      </w:r>
      <w:proofErr w:type="spellEnd"/>
      <w:r>
        <w:t xml:space="preserve">. </w:t>
      </w:r>
      <w:proofErr w:type="spellStart"/>
      <w:r>
        <w:t>Gosselin</w:t>
      </w:r>
      <w:proofErr w:type="spellEnd"/>
      <w:r>
        <w:t>.</w:t>
      </w:r>
    </w:p>
    <w:p w:rsidR="00494CA6" w:rsidRDefault="00494CA6">
      <w:pPr>
        <w:spacing w:line="480" w:lineRule="auto"/>
      </w:pPr>
    </w:p>
    <w:p w:rsidR="00494CA6" w:rsidRDefault="00595EA5">
      <w:pPr>
        <w:spacing w:line="480" w:lineRule="auto"/>
        <w:ind w:left="720" w:hanging="720"/>
        <w:jc w:val="both"/>
      </w:pPr>
      <w:r>
        <w:t xml:space="preserve">González </w:t>
      </w:r>
      <w:proofErr w:type="spellStart"/>
      <w:r>
        <w:t>González</w:t>
      </w:r>
      <w:proofErr w:type="spellEnd"/>
      <w:r>
        <w:t>, F. (2014). Poder y violencia en Colombia. CINEP.</w:t>
      </w:r>
    </w:p>
    <w:p w:rsidR="00494CA6" w:rsidRDefault="00494CA6" w:rsidP="00B4726F">
      <w:pPr>
        <w:spacing w:line="480" w:lineRule="auto"/>
        <w:ind w:left="708" w:hanging="708"/>
      </w:pPr>
    </w:p>
    <w:p w:rsidR="00494CA6" w:rsidRDefault="00595EA5">
      <w:pPr>
        <w:spacing w:line="480" w:lineRule="auto"/>
        <w:ind w:left="720" w:hanging="720"/>
        <w:jc w:val="both"/>
      </w:pPr>
      <w:r>
        <w:t xml:space="preserve">Hobbes, T. (1651). </w:t>
      </w:r>
      <w:proofErr w:type="spellStart"/>
      <w:r>
        <w:t>Leviathan</w:t>
      </w:r>
      <w:proofErr w:type="spellEnd"/>
      <w:r>
        <w:t xml:space="preserve">. Andrew </w:t>
      </w:r>
      <w:proofErr w:type="spellStart"/>
      <w:r>
        <w:t>Crooke</w:t>
      </w:r>
      <w:proofErr w:type="spellEnd"/>
      <w:r>
        <w:t>.</w:t>
      </w:r>
    </w:p>
    <w:p w:rsidR="00494CA6" w:rsidRDefault="00494CA6">
      <w:pPr>
        <w:spacing w:line="480" w:lineRule="auto"/>
      </w:pPr>
    </w:p>
    <w:p w:rsidR="00494CA6" w:rsidRDefault="00595EA5">
      <w:pPr>
        <w:spacing w:line="480" w:lineRule="auto"/>
        <w:ind w:left="720" w:hanging="720"/>
        <w:jc w:val="both"/>
      </w:pPr>
      <w:proofErr w:type="spellStart"/>
      <w:r>
        <w:lastRenderedPageBreak/>
        <w:t>Oakeshott</w:t>
      </w:r>
      <w:proofErr w:type="spellEnd"/>
      <w:r>
        <w:t>, M. (1962</w:t>
      </w:r>
      <w:r>
        <w:t xml:space="preserve">). </w:t>
      </w:r>
      <w:proofErr w:type="spellStart"/>
      <w:r>
        <w:t>Rationalism</w:t>
      </w:r>
      <w:proofErr w:type="spellEnd"/>
      <w:r>
        <w:t xml:space="preserve"> in </w:t>
      </w:r>
      <w:proofErr w:type="spellStart"/>
      <w:r>
        <w:t>politics</w:t>
      </w:r>
      <w:proofErr w:type="spellEnd"/>
      <w:r>
        <w:t xml:space="preserve"> and </w:t>
      </w:r>
      <w:proofErr w:type="spellStart"/>
      <w:r>
        <w:t>other</w:t>
      </w:r>
      <w:proofErr w:type="spellEnd"/>
      <w:r>
        <w:t xml:space="preserve"> </w:t>
      </w:r>
      <w:proofErr w:type="spellStart"/>
      <w:r>
        <w:t>essays</w:t>
      </w:r>
      <w:proofErr w:type="spellEnd"/>
      <w:r>
        <w:t xml:space="preserve">. </w:t>
      </w:r>
      <w:proofErr w:type="spellStart"/>
      <w:r>
        <w:t>Methuen</w:t>
      </w:r>
      <w:proofErr w:type="spellEnd"/>
      <w:r>
        <w:t>.</w:t>
      </w:r>
    </w:p>
    <w:p w:rsidR="00494CA6" w:rsidRDefault="00494CA6">
      <w:pPr>
        <w:spacing w:line="480" w:lineRule="auto"/>
      </w:pPr>
    </w:p>
    <w:p w:rsidR="00494CA6" w:rsidRDefault="00595EA5">
      <w:pPr>
        <w:spacing w:line="480" w:lineRule="auto"/>
        <w:ind w:left="720" w:hanging="720"/>
        <w:jc w:val="both"/>
      </w:pPr>
      <w:r>
        <w:t xml:space="preserve">Olson, M. (1993). </w:t>
      </w:r>
      <w:proofErr w:type="spellStart"/>
      <w:r>
        <w:t>Dictatorship</w:t>
      </w:r>
      <w:proofErr w:type="spellEnd"/>
      <w:r>
        <w:t xml:space="preserve">, </w:t>
      </w:r>
      <w:proofErr w:type="spellStart"/>
      <w:r>
        <w:t>democracy</w:t>
      </w:r>
      <w:proofErr w:type="spellEnd"/>
      <w:r>
        <w:t xml:space="preserve">, and </w:t>
      </w:r>
      <w:proofErr w:type="spellStart"/>
      <w:r>
        <w:t>development</w:t>
      </w:r>
      <w:proofErr w:type="spellEnd"/>
      <w:r>
        <w:t xml:space="preserve">. American </w:t>
      </w:r>
      <w:proofErr w:type="spellStart"/>
      <w:r>
        <w:t>Political</w:t>
      </w:r>
      <w:proofErr w:type="spellEnd"/>
      <w:r>
        <w:t xml:space="preserve"> </w:t>
      </w:r>
      <w:proofErr w:type="spellStart"/>
      <w:r>
        <w:t>Science</w:t>
      </w:r>
      <w:proofErr w:type="spellEnd"/>
      <w:r>
        <w:t xml:space="preserve"> </w:t>
      </w:r>
      <w:proofErr w:type="spellStart"/>
      <w:r>
        <w:t>Review</w:t>
      </w:r>
      <w:proofErr w:type="spellEnd"/>
      <w:r>
        <w:t>, 87(3), 567–576. https://doi.org/10.2307/2938736</w:t>
      </w:r>
    </w:p>
    <w:p w:rsidR="00494CA6" w:rsidRDefault="00494CA6">
      <w:pPr>
        <w:spacing w:line="480" w:lineRule="auto"/>
      </w:pPr>
    </w:p>
    <w:p w:rsidR="00494CA6" w:rsidRDefault="00595EA5">
      <w:pPr>
        <w:spacing w:line="480" w:lineRule="auto"/>
        <w:ind w:left="720" w:hanging="720"/>
        <w:jc w:val="both"/>
      </w:pPr>
      <w:r>
        <w:t xml:space="preserve">Schmitt, C. (1922). </w:t>
      </w:r>
      <w:proofErr w:type="spellStart"/>
      <w:r>
        <w:t>Politische</w:t>
      </w:r>
      <w:proofErr w:type="spellEnd"/>
      <w:r>
        <w:t xml:space="preserve"> </w:t>
      </w:r>
      <w:proofErr w:type="spellStart"/>
      <w:r>
        <w:t>Theologie</w:t>
      </w:r>
      <w:proofErr w:type="spellEnd"/>
      <w:r>
        <w:t xml:space="preserve">. Duncker &amp; </w:t>
      </w:r>
      <w:proofErr w:type="spellStart"/>
      <w:r>
        <w:t>Humblot</w:t>
      </w:r>
      <w:proofErr w:type="spellEnd"/>
      <w:r>
        <w:t>.</w:t>
      </w:r>
    </w:p>
    <w:p w:rsidR="00494CA6" w:rsidRDefault="00494CA6">
      <w:pPr>
        <w:spacing w:line="480" w:lineRule="auto"/>
      </w:pPr>
    </w:p>
    <w:p w:rsidR="00494CA6" w:rsidRDefault="00595EA5">
      <w:pPr>
        <w:spacing w:line="480" w:lineRule="auto"/>
        <w:ind w:left="720" w:hanging="720"/>
        <w:jc w:val="both"/>
      </w:pPr>
      <w:r>
        <w:t xml:space="preserve">Schmitt, C. (1932). Der </w:t>
      </w:r>
      <w:proofErr w:type="spellStart"/>
      <w:r>
        <w:t>Begriff</w:t>
      </w:r>
      <w:proofErr w:type="spellEnd"/>
      <w:r>
        <w:t xml:space="preserve"> des </w:t>
      </w:r>
      <w:proofErr w:type="spellStart"/>
      <w:r>
        <w:t>Politischen</w:t>
      </w:r>
      <w:proofErr w:type="spellEnd"/>
      <w:r>
        <w:t xml:space="preserve">. Duncker &amp; </w:t>
      </w:r>
      <w:proofErr w:type="spellStart"/>
      <w:r>
        <w:t>Humblot</w:t>
      </w:r>
      <w:proofErr w:type="spellEnd"/>
      <w:r>
        <w:t>.</w:t>
      </w:r>
    </w:p>
    <w:p w:rsidR="00494CA6" w:rsidRDefault="00494CA6">
      <w:pPr>
        <w:spacing w:line="480" w:lineRule="auto"/>
      </w:pPr>
    </w:p>
    <w:p w:rsidR="00494CA6" w:rsidRDefault="00595EA5">
      <w:pPr>
        <w:spacing w:line="480" w:lineRule="auto"/>
        <w:ind w:left="720" w:hanging="720"/>
        <w:jc w:val="both"/>
      </w:pPr>
      <w:r>
        <w:t xml:space="preserve">Tilly, C. (1992). </w:t>
      </w:r>
      <w:proofErr w:type="spellStart"/>
      <w:r>
        <w:t>Coercion</w:t>
      </w:r>
      <w:proofErr w:type="spellEnd"/>
      <w:r>
        <w:t xml:space="preserve">, capital, and </w:t>
      </w:r>
      <w:proofErr w:type="spellStart"/>
      <w:r>
        <w:t>European</w:t>
      </w:r>
      <w:proofErr w:type="spellEnd"/>
      <w:r>
        <w:t xml:space="preserve"> </w:t>
      </w:r>
      <w:proofErr w:type="spellStart"/>
      <w:r>
        <w:t>states</w:t>
      </w:r>
      <w:proofErr w:type="spellEnd"/>
      <w:r>
        <w:t>, AD 990–1992. Blackwell.</w:t>
      </w:r>
    </w:p>
    <w:p w:rsidR="00494CA6" w:rsidRDefault="00494CA6">
      <w:pPr>
        <w:spacing w:line="480" w:lineRule="auto"/>
      </w:pPr>
    </w:p>
    <w:p w:rsidR="00494CA6" w:rsidRDefault="00595EA5">
      <w:pPr>
        <w:spacing w:line="480" w:lineRule="auto"/>
        <w:ind w:left="720" w:hanging="720"/>
        <w:jc w:val="both"/>
      </w:pPr>
      <w:r>
        <w:t xml:space="preserve">Weber, M. (1919). </w:t>
      </w:r>
      <w:proofErr w:type="spellStart"/>
      <w:r>
        <w:t>Politik</w:t>
      </w:r>
      <w:proofErr w:type="spellEnd"/>
      <w:r>
        <w:t xml:space="preserve"> </w:t>
      </w:r>
      <w:proofErr w:type="spellStart"/>
      <w:r>
        <w:t>als</w:t>
      </w:r>
      <w:proofErr w:type="spellEnd"/>
      <w:r>
        <w:t xml:space="preserve"> </w:t>
      </w:r>
      <w:proofErr w:type="spellStart"/>
      <w:r>
        <w:t>Beruf</w:t>
      </w:r>
      <w:proofErr w:type="spellEnd"/>
      <w:r>
        <w:t>. Dunck</w:t>
      </w:r>
      <w:r>
        <w:t xml:space="preserve">er &amp; </w:t>
      </w:r>
      <w:proofErr w:type="spellStart"/>
      <w:r>
        <w:t>Humblot</w:t>
      </w:r>
      <w:proofErr w:type="spellEnd"/>
      <w:r>
        <w:t>.</w:t>
      </w:r>
    </w:p>
    <w:sectPr w:rsidR="00494CA6">
      <w:head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EA5" w:rsidRDefault="00595EA5">
      <w:r>
        <w:separator/>
      </w:r>
    </w:p>
  </w:endnote>
  <w:endnote w:type="continuationSeparator" w:id="0">
    <w:p w:rsidR="00595EA5" w:rsidRDefault="0059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EA5" w:rsidRDefault="00595EA5">
      <w:r>
        <w:separator/>
      </w:r>
    </w:p>
  </w:footnote>
  <w:footnote w:type="continuationSeparator" w:id="0">
    <w:p w:rsidR="00595EA5" w:rsidRDefault="0059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4CA6" w:rsidRDefault="00595EA5">
    <w:pPr>
      <w:jc w:val="right"/>
    </w:pPr>
    <w:r>
      <w:fldChar w:fldCharType="begin"/>
    </w:r>
    <w:r>
      <w:instrText>PAGE</w:instrText>
    </w:r>
    <w:r w:rsidR="00B4726F">
      <w:fldChar w:fldCharType="separate"/>
    </w:r>
    <w:r w:rsidR="00B4726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A441C"/>
    <w:multiLevelType w:val="hybridMultilevel"/>
    <w:tmpl w:val="69B6DDCE"/>
    <w:lvl w:ilvl="0" w:tplc="B79AFEBC">
      <w:start w:val="1"/>
      <w:numFmt w:val="bullet"/>
      <w:lvlText w:val="●"/>
      <w:lvlJc w:val="left"/>
      <w:pPr>
        <w:ind w:left="720" w:hanging="360"/>
      </w:pPr>
    </w:lvl>
    <w:lvl w:ilvl="1" w:tplc="3D5E9C8C">
      <w:start w:val="1"/>
      <w:numFmt w:val="bullet"/>
      <w:lvlText w:val="○"/>
      <w:lvlJc w:val="left"/>
      <w:pPr>
        <w:ind w:left="1440" w:hanging="360"/>
      </w:pPr>
    </w:lvl>
    <w:lvl w:ilvl="2" w:tplc="2F7C0482">
      <w:start w:val="1"/>
      <w:numFmt w:val="bullet"/>
      <w:lvlText w:val="■"/>
      <w:lvlJc w:val="left"/>
      <w:pPr>
        <w:ind w:left="2160" w:hanging="360"/>
      </w:pPr>
    </w:lvl>
    <w:lvl w:ilvl="3" w:tplc="33A0FC96">
      <w:start w:val="1"/>
      <w:numFmt w:val="bullet"/>
      <w:lvlText w:val="●"/>
      <w:lvlJc w:val="left"/>
      <w:pPr>
        <w:ind w:left="2880" w:hanging="360"/>
      </w:pPr>
    </w:lvl>
    <w:lvl w:ilvl="4" w:tplc="A4A00F1A">
      <w:start w:val="1"/>
      <w:numFmt w:val="bullet"/>
      <w:lvlText w:val="○"/>
      <w:lvlJc w:val="left"/>
      <w:pPr>
        <w:ind w:left="3600" w:hanging="360"/>
      </w:pPr>
    </w:lvl>
    <w:lvl w:ilvl="5" w:tplc="CDD85A44">
      <w:start w:val="1"/>
      <w:numFmt w:val="bullet"/>
      <w:lvlText w:val="■"/>
      <w:lvlJc w:val="left"/>
      <w:pPr>
        <w:ind w:left="4320" w:hanging="360"/>
      </w:pPr>
    </w:lvl>
    <w:lvl w:ilvl="6" w:tplc="78943E06">
      <w:start w:val="1"/>
      <w:numFmt w:val="bullet"/>
      <w:lvlText w:val="●"/>
      <w:lvlJc w:val="left"/>
      <w:pPr>
        <w:ind w:left="5040" w:hanging="360"/>
      </w:pPr>
    </w:lvl>
    <w:lvl w:ilvl="7" w:tplc="B738950E">
      <w:start w:val="1"/>
      <w:numFmt w:val="bullet"/>
      <w:lvlText w:val="●"/>
      <w:lvlJc w:val="left"/>
      <w:pPr>
        <w:ind w:left="5760" w:hanging="360"/>
      </w:pPr>
    </w:lvl>
    <w:lvl w:ilvl="8" w:tplc="B90A62E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CA6"/>
    <w:rsid w:val="00170B81"/>
    <w:rsid w:val="00494CA6"/>
    <w:rsid w:val="00595EA5"/>
    <w:rsid w:val="00B472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62209"/>
  <w15:docId w15:val="{7E9932CF-9A7D-4711-A162-1355D407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3347</Words>
  <Characters>18413</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Nicolás Ocampo</cp:lastModifiedBy>
  <cp:revision>2</cp:revision>
  <dcterms:created xsi:type="dcterms:W3CDTF">2026-05-16T21:48:00Z</dcterms:created>
  <dcterms:modified xsi:type="dcterms:W3CDTF">2026-05-16T21:48:00Z</dcterms:modified>
</cp:coreProperties>
</file>