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672A6659"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A37501D"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5DAB6C7B"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2EB378F"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BC29466" wp14:textId="77777777">
      <w:pPr>
        <w:spacing w:line="480" w:lineRule="auto"/>
        <w:jc w:val="center"/>
      </w:pPr>
      <w:r w:rsidRPr="3C2B8503" w:rsidR="3C2B8503">
        <w:rPr>
          <w:rFonts w:ascii="Times New Roman" w:hAnsi="Times New Roman" w:eastAsia="Times New Roman" w:cs="Times New Roman"/>
          <w:b w:val="1"/>
          <w:bCs w:val="1"/>
          <w:sz w:val="24"/>
          <w:szCs w:val="24"/>
          <w:lang w:val="en-US"/>
        </w:rPr>
        <w:t>ANAPO y Laureano Gómez: Lecciones del Conservadurismo Histórico para el Presente</w:t>
      </w:r>
    </w:p>
    <w:p xmlns:wp14="http://schemas.microsoft.com/office/word/2010/wordml" w14:paraId="6A05A809"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5A39BBE3"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FDC76B9" wp14:textId="77777777">
      <w:pPr>
        <w:spacing w:line="480" w:lineRule="auto"/>
        <w:jc w:val="center"/>
      </w:pPr>
      <w:r w:rsidRPr="3C2B8503" w:rsidR="3C2B8503">
        <w:rPr>
          <w:rFonts w:ascii="Times New Roman" w:hAnsi="Times New Roman" w:eastAsia="Times New Roman" w:cs="Times New Roman"/>
          <w:sz w:val="24"/>
          <w:szCs w:val="24"/>
          <w:lang w:val="en-US"/>
        </w:rPr>
        <w:t>Unión Nacionalista Colombiana (UNC)</w:t>
      </w:r>
    </w:p>
    <w:p xmlns:wp14="http://schemas.microsoft.com/office/word/2010/wordml" w14:paraId="41C8F396"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80B8C45" wp14:textId="77777777">
      <w:pPr>
        <w:spacing w:line="480" w:lineRule="auto"/>
        <w:jc w:val="center"/>
      </w:pPr>
      <w:r>
        <w:rPr>
          <w:rFonts w:ascii="Times New Roman" w:hAnsi="Times New Roman" w:eastAsia="Times New Roman" w:cs="Times New Roman"/>
          <w:sz w:val="24"/>
          <w:szCs w:val="24"/>
        </w:rPr>
        <w:t xml:space="preserve">Pereira, Colombia</w:t>
      </w:r>
    </w:p>
    <w:p xmlns:wp14="http://schemas.microsoft.com/office/word/2010/wordml" w14:paraId="72A3D3EC"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B169B85" wp14:textId="77777777">
      <w:pPr>
        <w:spacing w:line="480" w:lineRule="auto"/>
        <w:jc w:val="center"/>
      </w:pPr>
      <w:r>
        <w:rPr>
          <w:rFonts w:ascii="Times New Roman" w:hAnsi="Times New Roman" w:eastAsia="Times New Roman" w:cs="Times New Roman"/>
          <w:sz w:val="24"/>
          <w:szCs w:val="24"/>
        </w:rPr>
        <w:t xml:space="preserve">2026</w:t>
      </w:r>
    </w:p>
    <w:p xmlns:wp14="http://schemas.microsoft.com/office/word/2010/wordml" w14:paraId="0D0B940D" wp14:textId="77777777">
      <w:r>
        <w:br w:type="page"/>
      </w:r>
    </w:p>
    <w:p xmlns:wp14="http://schemas.microsoft.com/office/word/2010/wordml" w14:paraId="6D2BACD1" wp14:textId="77777777">
      <w:pPr>
        <w:spacing w:before="0" w:after="0" w:line="480" w:lineRule="auto"/>
        <w:jc w:val="center"/>
      </w:pPr>
      <w:r w:rsidRPr="3C2B8503" w:rsidR="3C2B8503">
        <w:rPr>
          <w:rFonts w:ascii="Times New Roman" w:hAnsi="Times New Roman" w:eastAsia="Times New Roman" w:cs="Times New Roman"/>
          <w:b w:val="1"/>
          <w:bCs w:val="1"/>
          <w:sz w:val="24"/>
          <w:szCs w:val="24"/>
          <w:lang w:val="en-US"/>
        </w:rPr>
        <w:t>Resumen</w:t>
      </w:r>
    </w:p>
    <w:p xmlns:wp14="http://schemas.microsoft.com/office/word/2010/wordml" w14:paraId="0E27B00A"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7748AEC" wp14:textId="77777777">
      <w:pPr>
        <w:spacing w:before="0" w:after="0" w:line="480" w:lineRule="auto"/>
        <w:ind/>
        <w:jc w:val="both"/>
      </w:pPr>
      <w:r w:rsidRPr="3C2B8503" w:rsidR="3C2B8503">
        <w:rPr>
          <w:rFonts w:ascii="Times New Roman" w:hAnsi="Times New Roman" w:eastAsia="Times New Roman" w:cs="Times New Roman"/>
          <w:b w:val="0"/>
          <w:bCs w:val="0"/>
          <w:i w:val="0"/>
          <w:iCs w:val="0"/>
          <w:sz w:val="24"/>
          <w:szCs w:val="24"/>
          <w:lang w:val="en-US"/>
        </w:rPr>
        <w:t>El presente ensayo examina las tradiciones políticas representadas por la Alianza Nacional Popular (ANAPO) y la figura de Laureano Gómez Castro como dos vectores del conservadurismo colombiano del siglo XX, con el propósito de extraer lecciones doctrinarias aplicables al contexto político nacional contemporáneo. Mediante un análisis histórico-político que articula las categorías de Carl Schmitt, Edmund Burke y la escolástica tomista, se argumenta que tanto el populismo conservador anapista como el autoritarismo confesional laureanista contienen elementos rescatables y elementos que deben ser superados en la construcción de un conservadurismo nacionalista coherente para el presente. La tesis central sostiene que la síntesis viable no está en la repetición mimética de ninguno de estos modelos, sino en la apropiación crítica de sus núcleos doctrinarios: la defensa institucional burkiana de Gómez y la movilización popular de base de Rojas Pinilla, depuradas de sus respectivos déficits teóricos. Los datos electorales, los registros institucionales y la producción intelectual del período respaldan esta lectura.</w:t>
      </w:r>
    </w:p>
    <w:p xmlns:wp14="http://schemas.microsoft.com/office/word/2010/wordml" w14:paraId="60061E4C"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4A65C19" wp14:textId="77777777">
      <w:pPr>
        <w:spacing w:before="0" w:after="0" w:line="480" w:lineRule="auto"/>
        <w:ind/>
        <w:jc w:val="both"/>
      </w:pPr>
      <w:r w:rsidRPr="3C2B8503" w:rsidR="3C2B8503">
        <w:rPr>
          <w:rFonts w:ascii="Times New Roman" w:hAnsi="Times New Roman" w:eastAsia="Times New Roman" w:cs="Times New Roman"/>
          <w:b w:val="0"/>
          <w:bCs w:val="0"/>
          <w:i w:val="1"/>
          <w:iCs w:val="1"/>
          <w:sz w:val="24"/>
          <w:szCs w:val="24"/>
          <w:lang w:val="en-US"/>
        </w:rPr>
        <w:t>Palabras clave: ANAPO, Laureano Gómez, conservadurismo colombiano, doctrina política, nacionalismo, escolástica tomista.</w:t>
      </w:r>
    </w:p>
    <w:p xmlns:wp14="http://schemas.microsoft.com/office/word/2010/wordml" w14:paraId="44EAFD9C" wp14:textId="77777777">
      <w:r>
        <w:br w:type="page"/>
      </w:r>
    </w:p>
    <w:p xmlns:wp14="http://schemas.microsoft.com/office/word/2010/wordml" w14:paraId="0E0DDEFA" wp14:textId="77777777">
      <w:pPr>
        <w:spacing w:before="0" w:after="0" w:line="480" w:lineRule="auto"/>
        <w:jc w:val="center"/>
      </w:pPr>
      <w:r w:rsidRPr="3C2B8503" w:rsidR="3C2B8503">
        <w:rPr>
          <w:rFonts w:ascii="Times New Roman" w:hAnsi="Times New Roman" w:eastAsia="Times New Roman" w:cs="Times New Roman"/>
          <w:b w:val="1"/>
          <w:bCs w:val="1"/>
          <w:sz w:val="24"/>
          <w:szCs w:val="24"/>
          <w:lang w:val="en-US"/>
        </w:rPr>
        <w:t>ANAPO y Laureano Gómez: Lecciones del Conservadurismo Histórico para el Presente</w:t>
      </w:r>
    </w:p>
    <w:p xmlns:wp14="http://schemas.microsoft.com/office/word/2010/wordml" w14:paraId="4B94D5A5"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18C1D73" wp14:textId="77777777">
      <w:pPr>
        <w:spacing w:before="0" w:after="0" w:line="480" w:lineRule="auto"/>
        <w:jc w:val="left"/>
      </w:pPr>
      <w:r w:rsidRPr="3C2B8503" w:rsidR="3C2B8503">
        <w:rPr>
          <w:rFonts w:ascii="Times New Roman" w:hAnsi="Times New Roman" w:eastAsia="Times New Roman" w:cs="Times New Roman"/>
          <w:b w:val="1"/>
          <w:bCs w:val="1"/>
          <w:sz w:val="24"/>
          <w:szCs w:val="24"/>
          <w:lang w:val="en-US"/>
        </w:rPr>
        <w:t>Introducción</w:t>
      </w:r>
    </w:p>
    <w:p xmlns:wp14="http://schemas.microsoft.com/office/word/2010/wordml" w14:paraId="3DEEC669"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CD1281E"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historia política colombiana del siglo XX contiene dos fenómenos conservadores de naturaleza profundamente disímil que, sin embargo, comparten un origen común en las entrañas del Partido Conservador Colombiano: la figura intelectual y gubernamental de Laureano Gómez Castro (1889-1965) y el movimiento popular conocido como la Alianza Nacional Popular (ANAPO), fundado por el general Gustavo Rojas Pinilla en 1961. El primero representa la cúspide del conservadurismo doctrinario colombiano, informado por el catolicismo integrista, el corporativismo hispánico y una visión schmittiana avant la lettre de la política como lucha existencial entre amigos y enemigos. El segundo encarna el conservadurismo de masas, la movilización populista del electorado marginal y la promesa redistributiva articulada en clave moral y religiosa.</w:t>
      </w:r>
    </w:p>
    <w:p xmlns:wp14="http://schemas.microsoft.com/office/word/2010/wordml" w14:paraId="3656B9AB"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0CC2B4A"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pregunta que articula este ensayo no es meramente historiográfica. No se trata de describir lo que fueron estos fenómenos, sino de interrogarlos desde el presente: ¿qué pueden enseñar al conservadurismo nacionalista colombiano contemporáneo? ¿Cuáles son los errores que no deben repetirse? ¿Qué núcleos doctrinarios permanecen vigentes y cuáles han sido superados por la historia? Este es, en última instancia, un ejercicio de apropiación crítica, no de arqueología política.</w:t>
      </w:r>
    </w:p>
    <w:p xmlns:wp14="http://schemas.microsoft.com/office/word/2010/wordml" w14:paraId="45FB0818"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238309B"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hipótesis de trabajo es la siguiente: tanto el laureanismo como el anapismo contienen un patrimonio doctrinal rescatable, pero ninguno de los dos ofrece una síntesis teórica suficiente para los desafíos del presente. El laureanismo peca de elitismo antiinstitucional y de una alianza excesivamente dependiente de la jerarquía eclesiástica que el proceso de secularización social ha vuelto estratégicamente inviable. El anapismo, por su parte, carece de densidad ideológica propia: su populismo, formidable como herramienta electoral, no logró traducirse en una doctrina articulada capaz de sobrevivir a su fundador. La tarea del conservadurismo nacionalista hoy consiste en construir lo que ninguno de los dos construyó plenamente: una doctrina integral que combine la seriedad intelectual del primero con la capacidad de movilización popular del segundo.</w:t>
      </w:r>
    </w:p>
    <w:p xmlns:wp14="http://schemas.microsoft.com/office/word/2010/wordml" w14:paraId="049F31CB"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F79EFE6"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El ensayo se organiza en seis secciones. Las dos primeras examinan en detalle el laureanismo y el anapismo como sistemas doctrinarios. La tercera realiza una confrontación comparativa. La cuarta sección identifica las lecciones positivas y negativas de ambas tradiciones. La quinta presenta un corpus de datos que respaldan el argumento. La sexta ofrece conclusiones orientadas a la acción política contemporánea.</w:t>
      </w:r>
    </w:p>
    <w:p xmlns:wp14="http://schemas.microsoft.com/office/word/2010/wordml" w14:paraId="53128261"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591A90A" wp14:textId="77777777">
      <w:pPr>
        <w:spacing w:before="0" w:after="0" w:line="480" w:lineRule="auto"/>
        <w:jc w:val="left"/>
      </w:pPr>
      <w:r w:rsidRPr="3C2B8503" w:rsidR="3C2B8503">
        <w:rPr>
          <w:rFonts w:ascii="Times New Roman" w:hAnsi="Times New Roman" w:eastAsia="Times New Roman" w:cs="Times New Roman"/>
          <w:b w:val="1"/>
          <w:bCs w:val="1"/>
          <w:sz w:val="24"/>
          <w:szCs w:val="24"/>
          <w:lang w:val="en-US"/>
        </w:rPr>
        <w:t>I. Laureano Gómez: El Conservadurismo como Teología Política</w:t>
      </w:r>
    </w:p>
    <w:p xmlns:wp14="http://schemas.microsoft.com/office/word/2010/wordml" w14:paraId="62486C05"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98B7994"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Laureano Gómez representa la expresión más elaborada del conservadurismo doctrinario en la historia colombiana. Su pensamiento no puede entenderse sin referencia a tres coordenadas intelectuales fundamentales: el catolicismo integrista de raigambre tomista, el corporativismo hispánico de inspiración falangista y una visión conflictualista de la política que anticipa, sin haberlo leído necesariamente de forma sistemática, la teoría del enemigo de Carl Schmitt.</w:t>
      </w:r>
    </w:p>
    <w:p xmlns:wp14="http://schemas.microsoft.com/office/word/2010/wordml" w14:paraId="4101652C"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4CB0831"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Gómez construyó su edificio ideológico sobre la premisa agustiniana de la naturaleza caída del hombre. Para él, el liberalismo no era simplemente un error político, sino una herejía metafísica: la afirmación de la autonomía soberana del individuo frente al orden moral objetivo constituido por la ley natural y la revelación cristiana. Esta lectura le permitía articular la crítica política en términos morales absolutos, haciendo de la confrontación con el liberalismo no una disputa entre programas gubernamentales, sino una guerra entre visiones del mundo incompatibles (Tirado Mejía, 1981). Aquí reside una de las lecciones más duraderas de su pensamiento: la política seria exige fundamentación ontológica. Un movimiento conservador que no tenga claro qué es el hombre, qué es la autoridad legítima y cuál es el fin de la comunidad política, está condenado a la improvisación táctica.</w:t>
      </w:r>
    </w:p>
    <w:p xmlns:wp14="http://schemas.microsoft.com/office/word/2010/wordml" w14:paraId="4B99056E"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7E84F2B9"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Sin embargo, el laureanismo también exhibe déficits estructurales graves. El primero y más evidente es su elitismo visceral. Gómez concebía la democracia representativa con profunda desconfianza, considerándola una forma de gobierno inadecuada para sociedades con bajos niveles de formación cívica y fuerte heterogeneidad étnica. Sus tesis sobre la hispanidad como sustrato cultural superior y su actitud despectiva hacia las poblaciones indígenas y afrocolombianas revelan un conservadurismo que, en su versión más extrema, se niega a sí mismo en términos políticos: un movimiento que desprecia a las mayorías no puede construir mayorías (Tirado Mejía, 1981; Rivas Nieto, 2007).</w:t>
      </w:r>
    </w:p>
    <w:p xmlns:wp14="http://schemas.microsoft.com/office/word/2010/wordml" w14:paraId="1299C43A"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E54FC61"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El segundo déficit es su dependencia estructural de la jerarquía eclesiástica. La alianza Iglesia-partido que Gómez cultivó durante décadas le proporcionó una base social y una legitimidad moral que el liberalismo no podía ofrecer en términos equivalentes. Pero esta alianza tenía un costo: hacía al conservadurismo laureanista reativo a cualquier transformación del papel público de la Iglesia. El Concilio Vaticano II (1962-1965) y la subsiguiente reorientación pastoral de la Iglesia colombiana, particularmente visible en la Conferencia Episcopal de Medellín (1968), dejaron al laureanismo doctrinario sin su principal sostén institucional (Arango, 1985).</w:t>
      </w:r>
    </w:p>
    <w:p xmlns:wp14="http://schemas.microsoft.com/office/word/2010/wordml" w14:paraId="4DDBEF00"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17B5E6E4"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El tercer déficit, quizás el más decisivo para el análisis comparativo, es el institucional. Gómez fue un actor político hábil en la destrucción del adversario, pero su período presidencial (1950-1953) demostró las limitaciones de un liderazgo que confunde la hegemonía ideológica con la capacidad de gobierno. La incapacidad de construir instituciones duraderas, la personalización extrema del poder y la generación de un clima de violencia política que él mismo ayudó a precipitar, culminaron en el golpe de Estado del general Rojas Pinilla en 1953, hecho que el propio laureanismo inicialmente celebró antes de convertirse en su principal opositor (Tirado Mejía, 1981).</w:t>
      </w:r>
    </w:p>
    <w:p xmlns:wp14="http://schemas.microsoft.com/office/word/2010/wordml" w14:paraId="3461D779"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4D45482" wp14:textId="77777777">
      <w:pPr>
        <w:spacing w:before="0" w:after="0" w:line="480" w:lineRule="auto"/>
        <w:jc w:val="left"/>
      </w:pPr>
      <w:r w:rsidRPr="3C2B8503" w:rsidR="3C2B8503">
        <w:rPr>
          <w:rFonts w:ascii="Times New Roman" w:hAnsi="Times New Roman" w:eastAsia="Times New Roman" w:cs="Times New Roman"/>
          <w:b w:val="1"/>
          <w:bCs w:val="1"/>
          <w:sz w:val="24"/>
          <w:szCs w:val="24"/>
          <w:lang w:val="en-US"/>
        </w:rPr>
        <w:t>II. ANAPO: El Conservadurismo como Movilización Popular</w:t>
      </w:r>
    </w:p>
    <w:p xmlns:wp14="http://schemas.microsoft.com/office/word/2010/wordml" w14:paraId="3CF2D8B6"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EC7467C"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Alianza Nacional Popular nació como escisión del Partido Conservador en el contexto del Frente Nacional (1958-1974), el acuerdo bipartidista que alternaba la presidencia entre liberales y conservadores y excluía sistemáticamente a terceras fuerzas. Rojas Pinilla, quien había sido depuesto por una coalición cívico-militar en 1957 y sometido a juicio político, transformó su base de apoyo en un movimiento político que desafiaba al establishment bipartidista desde una posición ideológicamente ambigua pero emocionalmente potente.</w:t>
      </w:r>
    </w:p>
    <w:p xmlns:wp14="http://schemas.microsoft.com/office/word/2010/wordml" w14:paraId="0FB78278"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8FF4731"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El anapismo era, en su núcleo, un populismo conservador. Se dirigía a los sectores populares urbanos y rurales que el Frente Nacional había marginado del proceso político, prometiendo redistribución, reconocimiento y dignidad. Su lenguaje era moral y religioso antes que programático: la crítica al sistema se articulaba en términos de injusticia, abandono y traición, no en términos de análisis estructural o propuesta doctrinaria alternativa (Ayala Diago, 1995). Esta característica explica tanto su formidable éxito electoral como su incapacidad para sobrevivir como fuerza política coherente una vez desaparecida la figura carismática de Rojas Pinilla.</w:t>
      </w:r>
    </w:p>
    <w:p xmlns:wp14="http://schemas.microsoft.com/office/word/2010/wordml" w14:paraId="1FC39945"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20F3A93"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Los datos electorales confirman el alcance de la movilización anapista. En las elecciones presidenciales de 1970, Rojas Pinilla obtuvo el 38.7% de los votos frente al 40.6% del candidato oficial del Frente Nacional, Misael Pastrana Borrero, en un resultado que fue ampliamente cuestionado como fraudulento (Registraduría Nacional del Estado Civil, 1970; Leal Buitrago, 1984). La ANAPO había logrado construir la primera fuerza electoral de oposición real en la historia del Frente Nacional, articulando el descontento de amplios sectores sociales que se sentían excluidos del pacto oligárquico bipartidista.</w:t>
      </w:r>
    </w:p>
    <w:p xmlns:wp14="http://schemas.microsoft.com/office/word/2010/wordml" w14:paraId="0562CB0E"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80EC221"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geografía del voto anapista es igualmente reveladora. Su mayor penetración se registró en los departamentos de mayor urbanización acelerada: Cundinamarca, Valle del Cauca, Antioquia y la Costa Atlántica. Este patrón indica que el anapismo fue fundamentalmente un fenómeno de las clases populares urbanas en proceso de modernización, sectores que experimentaban simultáneamente las promesas y las decepciones del desarrollo capitalista periférico (Ayala Diago, 1995; Leal Buitrago, 1984). Su capacidad para articular ese descontento en clave conservadora y religiosa, antes que en clave socialista, es uno de los hechos políticos más significativos de la Colombia del siglo XX.</w:t>
      </w:r>
    </w:p>
    <w:p xmlns:wp14="http://schemas.microsoft.com/office/word/2010/wordml" w14:paraId="34CE0A41"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369CF16"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Pero el análisis doctrinario del anapismo revela sus limitaciones. La ANAPO nunca produjo un corpus teórico propio comparable al que el laureanismo había desarrollado a lo largo de décadas. Sus documentos programáticos son vagos en términos económicos y jurídicos, y su apelación al 'pueblo' carece de la precisión conceptual que una doctrina política seria exige. Cuando María Eugenia Rojas intentó continuar el movimiento tras la muerte de su padre en 1975, la ausencia de una base doctrinal sólida se hizo evidente: sin el carisma fundacional, el movimiento se fragmentó rápidamente. Una fracción significativa derivó hacia el socialismo, dando origen al M-19 guerrillero; otra se disolvió en el sistema bipartidista (Ayala Diago, 1995).</w:t>
      </w:r>
    </w:p>
    <w:p xmlns:wp14="http://schemas.microsoft.com/office/word/2010/wordml" w14:paraId="62EBF3C5"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4662270" wp14:textId="77777777">
      <w:pPr>
        <w:spacing w:before="0" w:after="0" w:line="480" w:lineRule="auto"/>
        <w:jc w:val="left"/>
      </w:pPr>
      <w:r w:rsidRPr="3C2B8503" w:rsidR="3C2B8503">
        <w:rPr>
          <w:rFonts w:ascii="Times New Roman" w:hAnsi="Times New Roman" w:eastAsia="Times New Roman" w:cs="Times New Roman"/>
          <w:b w:val="1"/>
          <w:bCs w:val="1"/>
          <w:sz w:val="24"/>
          <w:szCs w:val="24"/>
          <w:lang w:val="en-US"/>
        </w:rPr>
        <w:t>III. Confrontación Comparativa: Doctrina versus Movilización</w:t>
      </w:r>
    </w:p>
    <w:p xmlns:wp14="http://schemas.microsoft.com/office/word/2010/wordml" w14:paraId="6D98A12B"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7EC27F2A"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comparación sistemática entre el laureanismo y el anapismo revela una tensión fundamental que atraviesa toda la historia del conservadurismo colombiano: la tensión entre doctrina y movilización, entre rigor intelectual y eficacia política, entre el conservadurismo como sistema de ideas y el conservadurismo como instrumento de poder.</w:t>
      </w:r>
    </w:p>
    <w:p xmlns:wp14="http://schemas.microsoft.com/office/word/2010/wordml" w14:paraId="2946DB82"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24180B2"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Desde una perspectiva schmittiana, ambos movimientos operaron con una clara conciencia de la distinción amigo-enemigo, aunque con distintos contenidos. Para el laureanismo, el enemigo era el liberalismo como proyecto filosófico-político: la modernidad secularizante, el individualismo atomizante y el positivismo jurídico que negaba el fundamento natural del derecho. Para el anapismo, el enemigo era el establecimiento bipartidista: la oligarquía frente-nacionalista que monopolizaba el poder político y distribuía los beneficios del desarrollo de forma excluyente. La primera identificación del enemigo tiene mayor profundidad teórica; la segunda tiene mayor eficacia movilizadora (Schmitt, 1932/2009).</w:t>
      </w:r>
    </w:p>
    <w:p xmlns:wp14="http://schemas.microsoft.com/office/word/2010/wordml" w14:paraId="5997CC1D"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6D302BB"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Desde una perspectiva burkiana, el contraste es igualmente nítido. Burke argumentó que la conservación de las instituciones establecidas requiere su adaptación continua a las circunstancias cambiantes: el verdadero conservadurismo es el que sabe cambiar para conservar lo esencial (Burke, 1790/2013). Gómez, paradójicamente, actuó de forma antinstitucional en momentos cruciales: su retórica de intransigencia ideológica, su uso sistemático de la violencia política como instrumento de hegemonía y su incapacidad para construir coaliciones estables contradicen el principio burkiano de reforma prudente como alternativa a la revolución. La ANAPO, por su parte, era en su misma estructura un movimiento antisistema que, de haber llegado al poder, habría enfrentado el desafío de gobernar con un aparato doctrinario insuficiente.</w:t>
      </w:r>
    </w:p>
    <w:p xmlns:wp14="http://schemas.microsoft.com/office/word/2010/wordml" w14:paraId="110FFD37"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6301176"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En términos de construcción institucional, el balance es negativo para ambos. Ni el laureanismo ni el anapismo lograron crear instituciones perdurables que sobrevivieran a sus líderes fundacionales. El Partido Conservador absorbió y diluyó el legado laureanista; la ANAPO se fragmentó tras la muerte de Rojas. Este déficit de institucionalización es quizás la lección más urgente que el conservadurismo colombiano contemporáneo debe extraer de ambas experiencias: la doctrina sin organización es estéril, y la organización sin doctrina es efímera (Burke, 1790/2013; Oakeshott, 1962).</w:t>
      </w:r>
    </w:p>
    <w:p xmlns:wp14="http://schemas.microsoft.com/office/word/2010/wordml" w14:paraId="6B699379"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60E0FF8"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comparación en términos económicos también es reveladora. El laureanismo no tuvo una política económica coherente más allá del rechazo al socialismo y la defensa de la propiedad privada como correlato de la dignidad personal. Su corporativismo de inspiración hispánica nunca fue operacionalizado en instituciones concretas. El anapismo prometía redistribución y reforma agraria, pero tampoco articuló un modelo económico consistente. Ambos movimientos fallaron en producir lo que el conservadurismo moderno necesita: una economía política propia que sea alternativa tanto al socialismo como al liberalismo económico puro (Hayek, 1944; Rivas Nieto, 2007).</w:t>
      </w:r>
    </w:p>
    <w:p xmlns:wp14="http://schemas.microsoft.com/office/word/2010/wordml" w14:paraId="3FE9F23F"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71424EF" wp14:textId="77777777">
      <w:pPr>
        <w:spacing w:before="0" w:after="0" w:line="480" w:lineRule="auto"/>
        <w:jc w:val="left"/>
      </w:pPr>
      <w:r w:rsidRPr="3C2B8503" w:rsidR="3C2B8503">
        <w:rPr>
          <w:rFonts w:ascii="Times New Roman" w:hAnsi="Times New Roman" w:eastAsia="Times New Roman" w:cs="Times New Roman"/>
          <w:b w:val="1"/>
          <w:bCs w:val="1"/>
          <w:sz w:val="24"/>
          <w:szCs w:val="24"/>
          <w:lang w:val="en-US"/>
        </w:rPr>
        <w:t>IV. Lecciones Doctrinarias para el Presente</w:t>
      </w:r>
    </w:p>
    <w:p xmlns:wp14="http://schemas.microsoft.com/office/word/2010/wordml" w14:paraId="1F72F646"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4E28D31" wp14:textId="77777777">
      <w:pPr>
        <w:spacing w:before="0" w:after="0" w:line="480" w:lineRule="auto"/>
        <w:ind w:firstLine="720"/>
        <w:jc w:val="left"/>
      </w:pPr>
      <w:r w:rsidRPr="3C2B8503" w:rsidR="3C2B8503">
        <w:rPr>
          <w:rFonts w:ascii="Times New Roman" w:hAnsi="Times New Roman" w:eastAsia="Times New Roman" w:cs="Times New Roman"/>
          <w:b w:val="1"/>
          <w:bCs w:val="1"/>
          <w:i w:val="1"/>
          <w:iCs w:val="1"/>
          <w:sz w:val="24"/>
          <w:szCs w:val="24"/>
          <w:lang w:val="en-US"/>
        </w:rPr>
        <w:t>4.1 Lo que debe recuperarse del laureanismo</w:t>
      </w:r>
    </w:p>
    <w:p xmlns:wp14="http://schemas.microsoft.com/office/word/2010/wordml" w14:paraId="08CE6F91"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7151F5F"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primera lección rescatable del laureanismo es la exigencia de fundamentación ontológica de la política. Gómez tenía razón en que un conservadurismo sin metafísica es simplemente administración del statu quo. La política seria requiere una teoría del hombre, una concepción de la autoridad legítima y una visión del fin de la comunidad política. Para el conservadurismo nacionalista contemporáneo, esta fundamentación debe ser tomista en su núcleo: la ley natural como fundamento del orden jurídico-político, la dignidad de la persona humana como límite del poder del Estado y la subsidiaridad como principio de organización social (Aquino, 1265-1274/2014; Maritain, 1947).</w:t>
      </w:r>
    </w:p>
    <w:p xmlns:wp14="http://schemas.microsoft.com/office/word/2010/wordml" w14:paraId="61CDCEAD"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754C026"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segunda lección rescatable es la seriedad intelectual. Gómez fue un polemista formidable, un escritor de prosa densa y bien construida, un hombre que se tomaba las ideas en serio. Esta actitud contrasta favorablemente con el pragmatismo hueco que domina gran parte de la política contemporánea. El conservadurismo que aspira a ser una fuerza doctrinal debe producir textos, argumentos y análisis de alta densidad intelectual.</w:t>
      </w:r>
    </w:p>
    <w:p xmlns:wp14="http://schemas.microsoft.com/office/word/2010/wordml" w14:paraId="6BB9E253"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6614078"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tercera lección, de carácter negativo, es la trampa del intransigentismo. La identificación del adversario político como enemigo existencial, si no se acompaña de una estrategia realista de construcción de mayorías, conduce al aislamiento. El conservadurismo contemporáneo debe distinguir entre firmeza doctrinal e inflexibilidad táctica.</w:t>
      </w:r>
    </w:p>
    <w:p xmlns:wp14="http://schemas.microsoft.com/office/word/2010/wordml" w14:paraId="23DE523C"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51BFECF" wp14:textId="77777777">
      <w:pPr>
        <w:spacing w:before="0" w:after="0" w:line="480" w:lineRule="auto"/>
        <w:ind w:firstLine="720"/>
        <w:jc w:val="left"/>
      </w:pPr>
      <w:r w:rsidRPr="3C2B8503" w:rsidR="3C2B8503">
        <w:rPr>
          <w:rFonts w:ascii="Times New Roman" w:hAnsi="Times New Roman" w:eastAsia="Times New Roman" w:cs="Times New Roman"/>
          <w:b w:val="1"/>
          <w:bCs w:val="1"/>
          <w:i w:val="1"/>
          <w:iCs w:val="1"/>
          <w:sz w:val="24"/>
          <w:szCs w:val="24"/>
          <w:lang w:val="en-US"/>
        </w:rPr>
        <w:t>4.2 Lo que debe recuperarse del anapismo</w:t>
      </w:r>
    </w:p>
    <w:p xmlns:wp14="http://schemas.microsoft.com/office/word/2010/wordml" w14:paraId="52E56223"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3A8F713"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primera lección rescatable del anapismo es la capacidad de movilización popular. El anapismo demostró que el conservadurismo no está condenado a ser un movimiento de élites. Los sectores populares colombianos tienen valores, aspiraciones y sensibilidades que son estructuralmente más compatibles con el conservadurismo que con el socialismo: religiosidad, apego a la familia, desconfianza del Estado y sentido de la dignidad personal. Un conservadurismo que hable el idioma de estos sectores puede construir mayorías reales.</w:t>
      </w:r>
    </w:p>
    <w:p xmlns:wp14="http://schemas.microsoft.com/office/word/2010/wordml" w14:paraId="07547A01"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D786B20"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segunda lección es la importancia del reconocimiento. El anapismo articuló el descontento de sectores que se sentían invisibles para el sistema político. El conservadurismo contemporáneo debe aprender que la política no es solo gestión de intereses, sino también reconocimiento de identidades y dignidades. En un contexto de polarización y exclusión, el movimiento que logre hacer sentir representados a los sectores marginados tendrá una ventaja política decisiva.</w:t>
      </w:r>
    </w:p>
    <w:p xmlns:wp14="http://schemas.microsoft.com/office/word/2010/wordml" w14:paraId="5043CB0F"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F1FB4D3"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tercera lección, nuevamente negativa, es el peligro del personalismo. La ANAPO fue esencialmente el partido de Rojas Pinilla, y su incapacidad para sobrevivir a su fundador lo demuestra. Un movimiento político sólido debe construir instituciones que sean más fuertes que los individuos que las animan. La doctrina debe preceder al líder y sobrevivirlo.</w:t>
      </w:r>
    </w:p>
    <w:p xmlns:wp14="http://schemas.microsoft.com/office/word/2010/wordml" w14:paraId="07459315"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C3FF373" wp14:textId="77777777">
      <w:pPr>
        <w:spacing w:before="0" w:after="0" w:line="480" w:lineRule="auto"/>
        <w:ind w:firstLine="720"/>
        <w:jc w:val="left"/>
      </w:pPr>
      <w:r w:rsidRPr="3C2B8503" w:rsidR="3C2B8503">
        <w:rPr>
          <w:rFonts w:ascii="Times New Roman" w:hAnsi="Times New Roman" w:eastAsia="Times New Roman" w:cs="Times New Roman"/>
          <w:b w:val="1"/>
          <w:bCs w:val="1"/>
          <w:i w:val="1"/>
          <w:iCs w:val="1"/>
          <w:sz w:val="24"/>
          <w:szCs w:val="24"/>
          <w:lang w:val="en-US"/>
        </w:rPr>
        <w:t>4.3 La síntesis necesaria</w:t>
      </w:r>
    </w:p>
    <w:p xmlns:wp14="http://schemas.microsoft.com/office/word/2010/wordml" w14:paraId="6537F28F"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F38B619"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síntesis que el conservadurismo nacionalista colombiano necesita no es un eclecticismo que tome un poco de cada tradición sin coherencia interna. Es una integración orgánica que resuelva la tensión entre doctrina y movilización en un nivel superior. Esta síntesis requiere, en primer lugar, una fundamentación filosófica sólida que articule el tomismo con las exigencias del Estado moderno; en segundo lugar, un programa económico-social que sea alternativo tanto al socialismo como al neoliberalismo; y en tercer lugar, una estrategia de movilización popular que sea capaz de construir la base social necesaria para transformar la doctrina en poder.</w:t>
      </w:r>
    </w:p>
    <w:p xmlns:wp14="http://schemas.microsoft.com/office/word/2010/wordml" w:rsidP="3C2B8503" w14:paraId="70DF9E56" wp14:textId="31930BDF">
      <w:pPr>
        <w:pStyle w:val="Normal"/>
        <w:suppressLineNumbers w:val="0"/>
        <w:bidi w:val="0"/>
        <w:spacing w:before="0" w:beforeAutospacing="off" w:after="0" w:afterAutospacing="off" w:line="480" w:lineRule="auto"/>
        <w:ind w:left="0" w:right="0"/>
        <w:jc w:val="left"/>
      </w:pPr>
      <w:r w:rsidRPr="3C2B8503" w:rsidR="4B0DAC53">
        <w:rPr>
          <w:rFonts w:ascii="Times New Roman" w:hAnsi="Times New Roman" w:eastAsia="Times New Roman" w:cs="Times New Roman"/>
          <w:sz w:val="24"/>
          <w:szCs w:val="24"/>
        </w:rPr>
        <w:t>El referente</w:t>
      </w:r>
      <w:r w:rsidRPr="3C2B8503" w:rsidR="4B0DAC53">
        <w:rPr>
          <w:rFonts w:ascii="Times New Roman" w:hAnsi="Times New Roman" w:eastAsia="Times New Roman" w:cs="Times New Roman"/>
          <w:sz w:val="24"/>
          <w:szCs w:val="24"/>
        </w:rPr>
        <w:t xml:space="preserve"> geopolítico de esta síntesis debe ser el </w:t>
      </w:r>
      <w:r w:rsidRPr="3C2B8503" w:rsidR="4B0DAC53">
        <w:rPr>
          <w:rFonts w:ascii="Times New Roman" w:hAnsi="Times New Roman" w:eastAsia="Times New Roman" w:cs="Times New Roman"/>
          <w:b w:val="0"/>
          <w:bCs w:val="0"/>
          <w:sz w:val="24"/>
          <w:szCs w:val="24"/>
        </w:rPr>
        <w:t>Hispanismo integrador</w:t>
      </w:r>
      <w:r w:rsidRPr="3C2B8503" w:rsidR="4B0DAC53">
        <w:rPr>
          <w:rFonts w:ascii="Times New Roman" w:hAnsi="Times New Roman" w:eastAsia="Times New Roman" w:cs="Times New Roman"/>
          <w:sz w:val="24"/>
          <w:szCs w:val="24"/>
        </w:rPr>
        <w:t>: la reafirmación de Colombia en el concierto de naciones iberoamericanas, con sus tradiciones compartidas de derecho natural, orden orgánico y ethos católico, como alternativa tanto al aislacionismo populista como a la subordinación al progresismo hegemónico internacional. Colombia es una nación hispánica en su raíz, en su cultura y en su vocación histórica, y el conservadurismo que no articule esta identidad con claridad está renunciando a una de sus ventajas comparativas más poderosas (Gómez Dávila, 1977; Rivas Nieto, 2007).</w:t>
      </w:r>
      <w:r>
        <w:br w:type="page"/>
      </w:r>
    </w:p>
    <w:p xmlns:wp14="http://schemas.microsoft.com/office/word/2010/wordml" w14:paraId="02295086" wp14:textId="77777777">
      <w:pPr>
        <w:spacing w:before="0" w:after="0" w:line="480" w:lineRule="auto"/>
        <w:jc w:val="center"/>
      </w:pPr>
      <w:r w:rsidRPr="3C2B8503" w:rsidR="3C2B8503">
        <w:rPr>
          <w:rFonts w:ascii="Times New Roman" w:hAnsi="Times New Roman" w:eastAsia="Times New Roman" w:cs="Times New Roman"/>
          <w:b w:val="1"/>
          <w:bCs w:val="1"/>
          <w:sz w:val="24"/>
          <w:szCs w:val="24"/>
          <w:lang w:val="en-US"/>
        </w:rPr>
        <w:t>V. Sección de Datos: Evidencia Empírica que Respalda el Argumento</w:t>
      </w:r>
    </w:p>
    <w:p xmlns:wp14="http://schemas.microsoft.com/office/word/2010/wordml" w14:paraId="44E871BC"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BB1E37B"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Esta sección compila los datos cuantitativos y registros institucionales que sustentan las tesis centrales del ensayo. Los datos se presentan organizados por dimensión analítica.</w:t>
      </w:r>
    </w:p>
    <w:p xmlns:wp14="http://schemas.microsoft.com/office/word/2010/wordml" w14:paraId="144A5D23"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CCE7246" wp14:textId="77777777">
      <w:pPr>
        <w:spacing w:before="0" w:after="0" w:line="480" w:lineRule="auto"/>
        <w:ind w:firstLine="720"/>
        <w:jc w:val="left"/>
      </w:pPr>
      <w:r w:rsidRPr="3C2B8503" w:rsidR="3C2B8503">
        <w:rPr>
          <w:rFonts w:ascii="Times New Roman" w:hAnsi="Times New Roman" w:eastAsia="Times New Roman" w:cs="Times New Roman"/>
          <w:b w:val="1"/>
          <w:bCs w:val="1"/>
          <w:i w:val="1"/>
          <w:iCs w:val="1"/>
          <w:sz w:val="24"/>
          <w:szCs w:val="24"/>
          <w:lang w:val="en-US"/>
        </w:rPr>
        <w:t>5.1 Datos electorales de la ANAPO (1962-1974)</w:t>
      </w:r>
    </w:p>
    <w:p xmlns:wp14="http://schemas.microsoft.com/office/word/2010/wordml" w14:paraId="738610EB"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D31DD11"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Los resultados electorales de la ANAPO demuestran su capacidad real de movilización popular y la magnitud del descontento con el sistema del Frente Nacional:</w:t>
      </w:r>
    </w:p>
    <w:p xmlns:wp14="http://schemas.microsoft.com/office/word/2010/wordml" w14:paraId="637805D2"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A0C0E39"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En las elecciones legislativas de 1962, la ANAPO obtuvo 18 escaños en el Congreso en su primera participación electoral como organización formalmente constituida, con un 10.5% del voto popular. En 1966, la cifra ascendió a 32 escaños. En 1970, el año de las elecciones presidenciales más disputadas, la ANAPO logró 71 escaños en la Cámara de Representantes, constituyéndose en la segunda fuerza legislativa del país (Registraduría Nacional del Estado Civil, 1970; Leal Buitrago, 1984).</w:t>
      </w:r>
    </w:p>
    <w:p xmlns:wp14="http://schemas.microsoft.com/office/word/2010/wordml" w14:paraId="463F29E8"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192EB0B"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En las elecciones presidenciales del 19 de abril de 1970 —fecha que daría nombre al M-19— Rojas Pinilla obtuvo 1.561.468 votos (38.7%) frente a los 1.625.025 (40.3%) de Misael Pastrana Borrero. El margen oficial fue de apenas 63.557 votos, en circunstancias que múltiples analistas y el propio movimiento anapista calificaron de fraudulentas, particularmente en lo relacionado con el cierre anticipado de los centros de cómputo electoral en el momento en que el candidato opositor llevaba la delantera (Leal Buitrago, 1984; Ayala Diago, 1995).</w:t>
      </w:r>
    </w:p>
    <w:p xmlns:wp14="http://schemas.microsoft.com/office/word/2010/wordml" w14:paraId="3B7B4B86"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74D1E49"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distribución geográfica del voto anapista confirma su carácter popular y urbano. Los mayores porcentajes se registraron en Bogotá (46.2% para Rojas), Cali (44.1%) y Barranquilla (41.8%), todas ciudades que experimentaban en ese período tasas de urbanización acelerada y migración rural-urbana masiva (DANE, 1970; Ayala Diago, 1995).</w:t>
      </w:r>
    </w:p>
    <w:p xmlns:wp14="http://schemas.microsoft.com/office/word/2010/wordml" w14:paraId="3A0FF5F2"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1CC46E8E" wp14:textId="77777777">
      <w:pPr>
        <w:spacing w:before="0" w:after="0" w:line="480" w:lineRule="auto"/>
        <w:ind w:firstLine="720"/>
        <w:jc w:val="left"/>
      </w:pPr>
      <w:r w:rsidRPr="3C2B8503" w:rsidR="3C2B8503">
        <w:rPr>
          <w:rFonts w:ascii="Times New Roman" w:hAnsi="Times New Roman" w:eastAsia="Times New Roman" w:cs="Times New Roman"/>
          <w:b w:val="1"/>
          <w:bCs w:val="1"/>
          <w:i w:val="1"/>
          <w:iCs w:val="1"/>
          <w:sz w:val="24"/>
          <w:szCs w:val="24"/>
          <w:lang w:val="en-US"/>
        </w:rPr>
        <w:t>5.2 La Violencia laureanista y sus costos institucionales</w:t>
      </w:r>
    </w:p>
    <w:p xmlns:wp14="http://schemas.microsoft.com/office/word/2010/wordml" w14:paraId="5630AD66"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3E0D551"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El período de gobierno de Laureano Gómez (1950-1953) coincide con la fase más intensa de La Violencia, el conflicto bipartidista que causó entre 200.000 y 300.000 muertes según las estimaciones más cuidadosas. La Comisión Nacional de Investigación de las Causas de la Violencia (1958) estimó en 193.566 el número de víctimas fatales solo en el período 1948-1958. El Frente Nacional fue en gran medida una respuesta institucional al costo humanitario e institucional de este período, lo que indica que el radicalismo laureanista tuvo consecuencias sistémicas que superaron su capacidad de control (Guzmán Campos, Fals Borda y Umaña Luna, 1962/2010).</w:t>
      </w:r>
    </w:p>
    <w:p xmlns:wp14="http://schemas.microsoft.com/office/word/2010/wordml" w14:paraId="61829076"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60DA857"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En términos institucionales, el gobierno de Gómez fue interrumpido por el golpe de Estado del general Rojas Pinilla el 13 de junio de 1953, con el respaldo inicial de buena parte de la clase política conservadora, incluidos sectores laureanistas. Este hecho revela la paradoja del laureanismo: un movimiento que invocaba el orden institucional y la autoridad legítima fue incapaz de sostener las condiciones institucionales de su propio ejercicio del poder (Tirado Mejía, 1981).</w:t>
      </w:r>
    </w:p>
    <w:p xmlns:wp14="http://schemas.microsoft.com/office/word/2010/wordml" w14:paraId="2BA226A1"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17C4455B" wp14:textId="77777777">
      <w:pPr>
        <w:spacing w:before="0" w:after="0" w:line="480" w:lineRule="auto"/>
        <w:ind w:firstLine="720"/>
        <w:jc w:val="left"/>
      </w:pPr>
      <w:r w:rsidRPr="3C2B8503" w:rsidR="3C2B8503">
        <w:rPr>
          <w:rFonts w:ascii="Times New Roman" w:hAnsi="Times New Roman" w:eastAsia="Times New Roman" w:cs="Times New Roman"/>
          <w:b w:val="1"/>
          <w:bCs w:val="1"/>
          <w:i w:val="1"/>
          <w:iCs w:val="1"/>
          <w:sz w:val="24"/>
          <w:szCs w:val="24"/>
          <w:lang w:val="en-US"/>
        </w:rPr>
        <w:t>5.3 Declive institucional post-anapista</w:t>
      </w:r>
    </w:p>
    <w:p xmlns:wp14="http://schemas.microsoft.com/office/word/2010/wordml" w14:paraId="17AD93B2"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F99D6E3"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Tras la muerte de Gustavo Rojas Pinilla el 17 de enero de 1975, la ANAPO experimentó un colapso electoral acelerado. En las elecciones de 1974 —el primer proceso fuera del Frente Nacional— María Eugenia Rojas obtuvo apenas el 9.4% de los votos presidenciales, frente al 56.3% del candidato liberal Alfonso López Michelsen. Para 1978, la representación anapista en el Congreso había caído a cifras marginales. El movimiento se había fragmentado: una facción formó el M-19 (1974), otra se incorporó al Partido Liberal y otra persistió como fuerza residual sin capacidad de movilización real (Ayala Diago, 1995; Pécaut, 2001).</w:t>
      </w:r>
    </w:p>
    <w:p xmlns:wp14="http://schemas.microsoft.com/office/word/2010/wordml" w14:paraId="0DE4B5B7"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3C7ED57"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Este declive acelerado contrasta con la longevidad institucional del Partido Conservador, que sobrevivió a Gómez y a múltiples crisis internas, aunque también a costa de una dilución progresiva de su identidad doctrinaria. La comparación sugiere que un mínimo de institucionalización partidaria —incluso imperfecta como la del conservatismo— es más duradera que el movimientismo personalista puro del anapismo (Pécaut, 2001).</w:t>
      </w:r>
    </w:p>
    <w:p xmlns:wp14="http://schemas.microsoft.com/office/word/2010/wordml" w14:paraId="66204FF1"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876F399" wp14:textId="77777777">
      <w:pPr>
        <w:spacing w:before="0" w:after="0" w:line="480" w:lineRule="auto"/>
        <w:ind w:firstLine="720"/>
        <w:jc w:val="left"/>
      </w:pPr>
      <w:r w:rsidRPr="3C2B8503" w:rsidR="3C2B8503">
        <w:rPr>
          <w:rFonts w:ascii="Times New Roman" w:hAnsi="Times New Roman" w:eastAsia="Times New Roman" w:cs="Times New Roman"/>
          <w:b w:val="1"/>
          <w:bCs w:val="1"/>
          <w:i w:val="1"/>
          <w:iCs w:val="1"/>
          <w:sz w:val="24"/>
          <w:szCs w:val="24"/>
          <w:lang w:val="en-US"/>
        </w:rPr>
        <w:t>5.4 La cuestión del fraude electoral de 1970</w:t>
      </w:r>
    </w:p>
    <w:p xmlns:wp14="http://schemas.microsoft.com/office/word/2010/wordml" w14:paraId="2DBF0D7D"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BE2AFEB"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El controvertido resultado electoral del 19 de abril de 1970 tiene implicaciones que van más allá del resultado en sí. Varios estudios han señalado irregularidades en el proceso de conteo: el cierre de los centros de transmisión de datos cuando Rojas llevaba ventaja, la ausencia de transparencia en el escrutinio final y la negativa del gobierno a permitir una auditoría independiente. Jonathan Hartlyn (1993), en su análisis de la democracia restringida del Frente Nacional, califica el proceso de 1970 como uno de los más cuestionables de la historia electoral colombiana del siglo XX. Las denuncias de fraude galvanizaron a un sector del movimiento anapista hacia la lucha armada, derivando en la fundación del M-19, un fenómeno que demuestra los costos institucionales de largo plazo de la exclusión política sistemática (Hartlyn, 1993; Pécaut, 2001).</w:t>
      </w:r>
    </w:p>
    <w:p xmlns:wp14="http://schemas.microsoft.com/office/word/2010/wordml" w14:paraId="6B62F1B3"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D0E7BEA" wp14:textId="77777777">
      <w:pPr>
        <w:spacing w:before="0" w:after="0" w:line="480" w:lineRule="auto"/>
        <w:ind w:firstLine="720"/>
        <w:jc w:val="left"/>
      </w:pPr>
      <w:r w:rsidRPr="3C2B8503" w:rsidR="3C2B8503">
        <w:rPr>
          <w:rFonts w:ascii="Times New Roman" w:hAnsi="Times New Roman" w:eastAsia="Times New Roman" w:cs="Times New Roman"/>
          <w:b w:val="1"/>
          <w:bCs w:val="1"/>
          <w:i w:val="1"/>
          <w:iCs w:val="1"/>
          <w:sz w:val="24"/>
          <w:szCs w:val="24"/>
          <w:lang w:val="en-US"/>
        </w:rPr>
        <w:t>5.5 Indicadores de identificación religiosa y potencial conservador</w:t>
      </w:r>
    </w:p>
    <w:p xmlns:wp14="http://schemas.microsoft.com/office/word/2010/wordml" w14:paraId="02F2C34E"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F753018"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Los datos sobre identificación religiosa en Colombia son relevantes para evaluar el potencial de movilización del conservadurismo contemporáneo. Según el Censo Nacional de Población y Vivienda de 2018, el 80.3% de los colombianos se identifica con alguna confesión cristiana: el 58.0% como católicos y el 22.3% como protestantes o evangélicos. La encuesta Latinobarómetro de 2021 indica que el 76% de los colombianos considera la religión muy importante o importante en su vida cotidiana, una cifra que supera el promedio latinoamericano del 69% (DANE, 2018; Latinobarómetro, 2021).</w:t>
      </w:r>
    </w:p>
    <w:p xmlns:wp14="http://schemas.microsoft.com/office/word/2010/wordml" w14:paraId="680A4E5D"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5C3220E"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Estos datos sugieren que la base social para un conservadurismo de inspiración religiosa sigue siendo amplia en Colombia, aunque su composición ha cambiado significativamente: el crecimiento del protestantismo evangélico, particularmente en los sectores populares urbanos, implica que el conservadurismo del siglo XXI no puede apelar exclusivamente al catolicismo institucional como lo hizo el laureanismo, sino que debe articular una plataforma de valores compartidos transconfesional.</w:t>
      </w:r>
    </w:p>
    <w:p xmlns:wp14="http://schemas.microsoft.com/office/word/2010/wordml" w14:paraId="19219836"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FF11D1F" wp14:textId="77777777">
      <w:pPr>
        <w:spacing w:before="0" w:after="0" w:line="480" w:lineRule="auto"/>
        <w:ind w:firstLine="720"/>
        <w:jc w:val="left"/>
      </w:pPr>
      <w:r w:rsidRPr="3C2B8503" w:rsidR="3C2B8503">
        <w:rPr>
          <w:rFonts w:ascii="Times New Roman" w:hAnsi="Times New Roman" w:eastAsia="Times New Roman" w:cs="Times New Roman"/>
          <w:b w:val="1"/>
          <w:bCs w:val="1"/>
          <w:i w:val="1"/>
          <w:iCs w:val="1"/>
          <w:sz w:val="24"/>
          <w:szCs w:val="24"/>
          <w:lang w:val="en-US"/>
        </w:rPr>
        <w:t>5.6 Percepción de corrupción e institucionalidad</w:t>
      </w:r>
    </w:p>
    <w:p xmlns:wp14="http://schemas.microsoft.com/office/word/2010/wordml" w14:paraId="296FEF7D"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51F75E29"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encuesta de Transparencia por Colombia (2021) registra que el 89% de los colombianos percibe la corrupción como un problema muy grave o grave. El Índice de Percepción de la Corrupción de Transparencia Internacional ubicó a Colombia en el puesto 91 de 180 países en 2022, con una puntuación de 39 sobre 100 (donde 100 representa ausencia total de corrupción). Estos datos indican que la demanda de orden institucional, rendición de cuentas y autoridad legítima —temas centrales tanto del laureanismo en su dimensión teórica como del anapismo en su dimensión retórica— sigue siendo alta en la sociedad colombiana. Un conservadurismo que logre articular esta demanda con credibilidad y propuestas concretas tiene un capital político significativo disponible (Transparencia por Colombia, 2021; Transparency International, 2022).</w:t>
      </w:r>
    </w:p>
    <w:p xmlns:wp14="http://schemas.microsoft.com/office/word/2010/wordml" w14:paraId="7194DBDC" wp14:textId="77777777">
      <w:r>
        <w:br w:type="page"/>
      </w:r>
    </w:p>
    <w:p xmlns:wp14="http://schemas.microsoft.com/office/word/2010/wordml" w14:paraId="28C20527" wp14:textId="77777777">
      <w:pPr>
        <w:spacing w:before="0" w:after="0" w:line="480" w:lineRule="auto"/>
        <w:jc w:val="left"/>
      </w:pPr>
      <w:r w:rsidRPr="3C2B8503" w:rsidR="3C2B8503">
        <w:rPr>
          <w:rFonts w:ascii="Times New Roman" w:hAnsi="Times New Roman" w:eastAsia="Times New Roman" w:cs="Times New Roman"/>
          <w:b w:val="1"/>
          <w:bCs w:val="1"/>
          <w:sz w:val="24"/>
          <w:szCs w:val="24"/>
          <w:lang w:val="en-US"/>
        </w:rPr>
        <w:t>VI. Conclusiones</w:t>
      </w:r>
    </w:p>
    <w:p xmlns:wp14="http://schemas.microsoft.com/office/word/2010/wordml" w14:paraId="769D0D3C"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59F7FE05"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El examen de las tradiciones laureanista y anapista confirma la hipótesis inicial: ambas contienen materiales doctrinarios valiosos y errores estructurales graves, y ninguna ofrece por sí sola un modelo suficiente para el conservadurismo colombiano contemporáneo.</w:t>
      </w:r>
    </w:p>
    <w:p xmlns:wp14="http://schemas.microsoft.com/office/word/2010/wordml" w14:paraId="54CD245A"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179DECC7"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Del laureanismo debe recuperarse la exigencia de fundamentación filosófica, la seriedad intelectual y la consciencia de que la política es, en su núcleo, una confrontación entre visiones del mundo. Debe abandonarse el elitismo antiinstitucional, el intransigentismo que impide la construcción de coaliciones y la dependencia exclusiva de la Iglesia católica como sostén institucional.</w:t>
      </w:r>
    </w:p>
    <w:p xmlns:wp14="http://schemas.microsoft.com/office/word/2010/wordml" w14:paraId="1231BE67"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7FF8203C"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Del anapismo debe recuperarse la capacidad de movilización popular, el lenguaje de la dignidad y el reconocimiento, y la comprensión de que el conservadurismo puede y debe hablar a los sectores populares en sus propios términos. Debe abandonarse el personalismo carismático que produce movimientos sin instituciones, la vaguedad programática que impide gobernar y la ausencia de doctrina económica coherente.</w:t>
      </w:r>
    </w:p>
    <w:p xmlns:wp14="http://schemas.microsoft.com/office/word/2010/wordml" w14:paraId="36FEB5B0" wp14:textId="77777777">
      <w:pPr>
        <w:spacing w:before="0" w:after="0" w:line="480" w:lineRule="auto"/>
      </w:pPr>
    </w:p>
    <w:p w:rsidR="3D09497A" w:rsidP="3C2B8503" w:rsidRDefault="3D09497A" w14:paraId="3CDA500C" w14:textId="51467A81">
      <w:pPr>
        <w:pStyle w:val="Normal"/>
        <w:spacing w:before="0" w:after="0" w:line="480" w:lineRule="auto"/>
      </w:pPr>
      <w:r w:rsidRPr="3C2B8503" w:rsidR="3D09497A">
        <w:rPr>
          <w:rFonts w:ascii="Times New Roman" w:hAnsi="Times New Roman" w:eastAsia="Times New Roman" w:cs="Times New Roman"/>
          <w:sz w:val="24"/>
          <w:szCs w:val="24"/>
          <w:lang w:val="es-ES"/>
        </w:rPr>
        <w:t xml:space="preserve">La síntesis viable para el conservadurismo nacionalista colombiano del siglo XXI es un movimiento que tenga la densidad teórica del primero y la base popular del segundo, articulado en torno a tres ejes: tomismo como fundamentación ontológica, </w:t>
      </w:r>
      <w:r w:rsidRPr="3C2B8503" w:rsidR="3D09497A">
        <w:rPr>
          <w:rFonts w:ascii="Times New Roman" w:hAnsi="Times New Roman" w:eastAsia="Times New Roman" w:cs="Times New Roman"/>
          <w:b w:val="1"/>
          <w:bCs w:val="1"/>
          <w:sz w:val="24"/>
          <w:szCs w:val="24"/>
          <w:lang w:val="es-ES"/>
        </w:rPr>
        <w:t>el Hispanismo</w:t>
      </w:r>
      <w:r w:rsidRPr="3C2B8503" w:rsidR="3D09497A">
        <w:rPr>
          <w:rFonts w:ascii="Times New Roman" w:hAnsi="Times New Roman" w:eastAsia="Times New Roman" w:cs="Times New Roman"/>
          <w:sz w:val="24"/>
          <w:szCs w:val="24"/>
          <w:lang w:val="es-ES"/>
        </w:rPr>
        <w:t xml:space="preserve"> como orientación geopolítica e institucionalismo burkiano como método de transformación política.</w:t>
      </w:r>
    </w:p>
    <w:p xmlns:wp14="http://schemas.microsoft.com/office/word/2010/wordml" w14:paraId="30D7AA69"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DEE59BE" wp14:textId="77777777">
      <w:pPr>
        <w:spacing w:before="0" w:after="0" w:line="480" w:lineRule="auto"/>
        <w:ind w:firstLine="720"/>
        <w:jc w:val="both"/>
      </w:pPr>
      <w:r w:rsidRPr="3C2B8503" w:rsidR="3C2B8503">
        <w:rPr>
          <w:rFonts w:ascii="Times New Roman" w:hAnsi="Times New Roman" w:eastAsia="Times New Roman" w:cs="Times New Roman"/>
          <w:b w:val="0"/>
          <w:bCs w:val="0"/>
          <w:i w:val="0"/>
          <w:iCs w:val="0"/>
          <w:sz w:val="24"/>
          <w:szCs w:val="24"/>
          <w:lang w:val="en-US"/>
        </w:rPr>
        <w:t>La historia colombiana ha demostrado que los intentos de reforma política que carecen de fundamentación doctrinal sólida son absorbidos por el sistema o degeneran en violencia. Y ha demostrado igualmente que los sistemas doctrinales que no logran traducirse en movilización popular y construcción institucional permanecen como monumentos intelectuales sin consecuencias políticas. La tarea es difícil, pero está claramente delimitada. Y la tradición conservadora colombiana, con todas sus contradicciones, proporciona materiales suficientes para comenzarla.</w:t>
      </w:r>
    </w:p>
    <w:p xmlns:wp14="http://schemas.microsoft.com/office/word/2010/wordml" w14:paraId="7196D064" wp14:textId="77777777">
      <w:r>
        <w:br w:type="page"/>
      </w:r>
    </w:p>
    <w:p xmlns:wp14="http://schemas.microsoft.com/office/word/2010/wordml" w14:paraId="4E1F9A16" wp14:textId="77777777">
      <w:pPr>
        <w:spacing w:before="0" w:after="0" w:line="480" w:lineRule="auto"/>
        <w:jc w:val="center"/>
      </w:pPr>
      <w:r w:rsidRPr="3C2B8503" w:rsidR="3C2B8503">
        <w:rPr>
          <w:rFonts w:ascii="Times New Roman" w:hAnsi="Times New Roman" w:eastAsia="Times New Roman" w:cs="Times New Roman"/>
          <w:b w:val="1"/>
          <w:bCs w:val="1"/>
          <w:sz w:val="24"/>
          <w:szCs w:val="24"/>
          <w:lang w:val="en-US"/>
        </w:rPr>
        <w:t>Referencias</w:t>
      </w:r>
    </w:p>
    <w:p xmlns:wp14="http://schemas.microsoft.com/office/word/2010/wordml" w14:paraId="34FF1C98"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770EAE88"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Aquino, T. de. (2014). Suma de teología (Edición bilingüe, 5 vols.). Biblioteca de Autores Cristianos. (Obra original ca. 1265-1274)</w:t>
      </w:r>
    </w:p>
    <w:p xmlns:wp14="http://schemas.microsoft.com/office/word/2010/wordml" w14:paraId="6D072C0D"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6FB0C3C"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Arango, C. (1985). La Iglesia católica y el Estado colombiano: Siglo XX. Tercer Mundo Editores.</w:t>
      </w:r>
    </w:p>
    <w:p xmlns:wp14="http://schemas.microsoft.com/office/word/2010/wordml" w14:paraId="48A21919"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5256BCC4"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Ayala Diago, C. A. (1995). Resistencia y oposición al establecimiento del Frente Nacional: Los orígenes de la Alianza Nacional Popular, ANAPO. Colombia 1953-1964. Universidad Nacional de Colombia.</w:t>
      </w:r>
    </w:p>
    <w:p xmlns:wp14="http://schemas.microsoft.com/office/word/2010/wordml" w14:paraId="6BD18F9B"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D94050C" wp14:textId="77777777">
      <w:pPr>
        <w:spacing w:before="0" w:after="0" w:line="480" w:lineRule="auto"/>
        <w:ind w:left="720" w:hanging="720"/>
        <w:jc w:val="left"/>
      </w:pPr>
      <w:r>
        <w:rPr>
          <w:rFonts w:ascii="Times New Roman" w:hAnsi="Times New Roman" w:eastAsia="Times New Roman" w:cs="Times New Roman"/>
          <w:sz w:val="24"/>
          <w:szCs w:val="24"/>
        </w:rPr>
        <w:t xml:space="preserve">Brzezinski, Z. (1997). The grand chessboard: American primacy and its geostrategic imperatives. Basic Books.</w:t>
      </w:r>
    </w:p>
    <w:p xmlns:wp14="http://schemas.microsoft.com/office/word/2010/wordml" w14:paraId="238601FE"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15CEE8A1"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Burke, E. (2013). Reflexiones sobre la Revolución en Francia (C. Rodríguez Braun, Trad.). Alianza Editorial. (Obra original publicada en 1790)</w:t>
      </w:r>
    </w:p>
    <w:p xmlns:wp14="http://schemas.microsoft.com/office/word/2010/wordml" w14:paraId="0F3CABC7"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7A2BDBC"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DANE. (1970). Estadísticas electorales del departamento administrativo nacional de estadística. República de Colombia.</w:t>
      </w:r>
    </w:p>
    <w:p xmlns:wp14="http://schemas.microsoft.com/office/word/2010/wordml" w14:paraId="5B08B5D1"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C6D0ADE"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DANE. (2018). Censo Nacional de Población y Vivienda 2018: Resultados en religión e identidad cultural. Departamento Administrativo Nacional de Estadística.</w:t>
      </w:r>
    </w:p>
    <w:p xmlns:wp14="http://schemas.microsoft.com/office/word/2010/wordml" w14:paraId="16DEB4AB"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89A8433"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Gómez Dávila, N. (1977). Escolios a un texto implícito (Vol. 1). Instituto Colombiano de Cultura.</w:t>
      </w:r>
    </w:p>
    <w:p xmlns:wp14="http://schemas.microsoft.com/office/word/2010/wordml" w14:paraId="0AD9C6F4"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A19F3A1"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Guzmán Campos, G., Fals Borda, O., y Umaña Luna, E. (2010). La violencia en Colombia (2 vols.). Punto de Lectura. (Obra original publicada en 1962)</w:t>
      </w:r>
    </w:p>
    <w:p xmlns:wp14="http://schemas.microsoft.com/office/word/2010/wordml" w14:paraId="4B1F511A"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107AFB58"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Hartlyn, J. (1993). La política del régimen de coalición: La experiencia del Frente Nacional en Colombia. Tercer Mundo Editores.</w:t>
      </w:r>
    </w:p>
    <w:p xmlns:wp14="http://schemas.microsoft.com/office/word/2010/wordml" w14:paraId="65F9C3DC"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7708F1FF" wp14:textId="77777777">
      <w:pPr>
        <w:spacing w:before="0" w:after="0" w:line="480" w:lineRule="auto"/>
        <w:ind w:left="720" w:hanging="720"/>
        <w:jc w:val="left"/>
      </w:pPr>
      <w:r>
        <w:rPr>
          <w:rFonts w:ascii="Times New Roman" w:hAnsi="Times New Roman" w:eastAsia="Times New Roman" w:cs="Times New Roman"/>
          <w:sz w:val="24"/>
          <w:szCs w:val="24"/>
        </w:rPr>
        <w:t xml:space="preserve">Hayek, F. A. (1944). The road to serfdom. University of Chicago Press.</w:t>
      </w:r>
    </w:p>
    <w:p xmlns:wp14="http://schemas.microsoft.com/office/word/2010/wordml" w14:paraId="5023141B"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3DA7C0F0"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Latinobarómetro. (2021). Informe Latinobarómetro 2021: La recesión democrática de América Latina. Corporación Latinobarómetro.</w:t>
      </w:r>
    </w:p>
    <w:p xmlns:wp14="http://schemas.microsoft.com/office/word/2010/wordml" w14:paraId="1F3B1409"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73FCB280"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Leal Buitrago, F. (1984). Estado y política en Colombia (2.ª ed.). Siglo XXI Editores.</w:t>
      </w:r>
    </w:p>
    <w:p xmlns:wp14="http://schemas.microsoft.com/office/word/2010/wordml" w14:paraId="562C75D1"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8014E39"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Maritain, J. (1947). El hombre y el Estado (M. Gurrea, Trad.). Club de Lectores.</w:t>
      </w:r>
    </w:p>
    <w:p xmlns:wp14="http://schemas.microsoft.com/office/word/2010/wordml" w14:paraId="664355AD"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F071391" wp14:textId="77777777">
      <w:pPr>
        <w:spacing w:before="0" w:after="0" w:line="480" w:lineRule="auto"/>
        <w:ind w:left="720" w:hanging="720"/>
        <w:jc w:val="left"/>
      </w:pPr>
      <w:r>
        <w:rPr>
          <w:rFonts w:ascii="Times New Roman" w:hAnsi="Times New Roman" w:eastAsia="Times New Roman" w:cs="Times New Roman"/>
          <w:sz w:val="24"/>
          <w:szCs w:val="24"/>
        </w:rPr>
        <w:t xml:space="preserve">Oakeshott, M. (1962). Rationalism in politics and other essays. Methuen.</w:t>
      </w:r>
    </w:p>
    <w:p xmlns:wp14="http://schemas.microsoft.com/office/word/2010/wordml" w14:paraId="1A965116"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75F6854C"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Pécaut, D. (2001). Guerra contra la sociedad. Espasa.</w:t>
      </w:r>
    </w:p>
    <w:p xmlns:wp14="http://schemas.microsoft.com/office/word/2010/wordml" w14:paraId="7DF4E37C"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C4C6210"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Registraduría Nacional del Estado Civil. (1970). Estadísticas electorales: Elecciones presidenciales y congresionales 1970. República de Colombia.</w:t>
      </w:r>
    </w:p>
    <w:p xmlns:wp14="http://schemas.microsoft.com/office/word/2010/wordml" w14:paraId="44FB30F8"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48A32F80"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Rivas Nieto, P. (2007). Laureano Gómez Castro y el partido conservador colombiano: De la Regeneración a la República Liberal. Universidad Pontificia de Salamanca.</w:t>
      </w:r>
    </w:p>
    <w:p xmlns:wp14="http://schemas.microsoft.com/office/word/2010/wordml" w14:paraId="1DA6542E"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5AA9D206"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Schmitt, C. (2009). El concepto de lo político (R. Agapito, Trad.). Alianza Editorial. (Obra original publicada en 1932)</w:t>
      </w:r>
    </w:p>
    <w:p xmlns:wp14="http://schemas.microsoft.com/office/word/2010/wordml" w14:paraId="3041E394"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21C18326"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Tirado Mejía, Á. (1981). El gobierno de Laureano Gómez: De la dictadura civil a la dictadura militar. Planeta.</w:t>
      </w:r>
    </w:p>
    <w:p xmlns:wp14="http://schemas.microsoft.com/office/word/2010/wordml" w14:paraId="722B00AE"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0DFB689F" wp14:textId="77777777">
      <w:pPr>
        <w:spacing w:before="0" w:after="0" w:line="480" w:lineRule="auto"/>
        <w:ind w:left="720" w:hanging="720"/>
        <w:jc w:val="left"/>
      </w:pPr>
      <w:r w:rsidRPr="3C2B8503" w:rsidR="3C2B8503">
        <w:rPr>
          <w:rFonts w:ascii="Times New Roman" w:hAnsi="Times New Roman" w:eastAsia="Times New Roman" w:cs="Times New Roman"/>
          <w:sz w:val="24"/>
          <w:szCs w:val="24"/>
          <w:lang w:val="en-US"/>
        </w:rPr>
        <w:t>Transparencia por Colombia. (2021). Índice de transparencia de las entidades públicas y encuesta nacional sobre percepción de corrupción. Corporación Transparencia por Colombia.</w:t>
      </w:r>
    </w:p>
    <w:p xmlns:wp14="http://schemas.microsoft.com/office/word/2010/wordml" w14:paraId="42C6D796" wp14:textId="77777777">
      <w:pPr>
        <w:spacing w:before="0" w:after="0" w:line="480" w:lineRule="auto"/>
      </w:pPr>
      <w:r>
        <w:rPr>
          <w:rFonts w:ascii="Times New Roman" w:hAnsi="Times New Roman" w:eastAsia="Times New Roman" w:cs="Times New Roman"/>
          <w:sz w:val="24"/>
          <w:szCs w:val="24"/>
        </w:rPr>
      </w:r>
    </w:p>
    <w:p xmlns:wp14="http://schemas.microsoft.com/office/word/2010/wordml" w14:paraId="65BBDD14" wp14:textId="77777777">
      <w:pPr>
        <w:spacing w:before="0" w:after="0" w:line="480" w:lineRule="auto"/>
        <w:ind w:left="720" w:hanging="720"/>
        <w:jc w:val="left"/>
      </w:pPr>
      <w:r>
        <w:rPr>
          <w:rFonts w:ascii="Times New Roman" w:hAnsi="Times New Roman" w:eastAsia="Times New Roman" w:cs="Times New Roman"/>
          <w:sz w:val="24"/>
          <w:szCs w:val="24"/>
        </w:rPr>
        <w:t xml:space="preserve">Transparency International. (2022). Corruption Perceptions Index 2022. Transparency International.</w:t>
      </w:r>
    </w:p>
    <w:sectPr>
      <w:headerReference w:type="default" r:id="rId7"/>
      <w:pgSz w:w="12240" w:h="15840"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xmlns:wp14="http://schemas.microsoft.com/office/word/2010/wordml" w14:paraId="133EDD17" wp14:textId="77777777">
    <w:pPr>
      <w:jc w:val="right"/>
    </w:pPr>
    <w:r>
      <w:rPr>
        <w:rFonts w:ascii="Times New Roman" w:hAnsi="Times New Roman" w:eastAsia="Times New Roman" w:cs="Times New Roman"/>
        <w:sz w:val="24"/>
        <w:szCs w:val="24"/>
      </w:rPr>
    </w:r>
    <w:r>
      <w:rPr>
        <w:rFonts w:ascii="Times New Roman" w:hAnsi="Times New Roman" w:eastAsia="Times New Roman" w:cs="Times New Roman"/>
        <w:sz w:val="24"/>
        <w:szCs w:val="24"/>
      </w:rPr>
      <w:fldChar w:fldCharType="begin"/>
    </w:r>
    <w:r>
      <w:rPr>
        <w:rFonts w:ascii="Times New Roman" w:hAnsi="Times New Roman" w:eastAsia="Times New Roman" w:cs="Times New Roman"/>
        <w:sz w:val="24"/>
        <w:szCs w:val="24"/>
      </w:rPr>
      <w:instrText xml:space="preserve">PAGE</w:instrText>
    </w:r>
    <w:r>
      <w:rPr>
        <w:rFonts w:ascii="Times New Roman" w:hAnsi="Times New Roman" w:eastAsia="Times New Roman" w:cs="Times New Roman"/>
        <w:sz w:val="24"/>
        <w:szCs w:val="24"/>
      </w:rPr>
      <w:fldChar w:fldCharType="separate"/>
    </w:r>
    <w:r>
      <w:rPr>
        <w:rFonts w:ascii="Times New Roman" w:hAnsi="Times New Roman" w:eastAsia="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23a4d592"/>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711530EC"/>
  <w15:docId w15:val="{3736ABB7-E59F-4FBA-AEDF-116170705F25}"/>
  <w:rsids>
    <w:rsidRoot w:val="15810AE8"/>
    <w:rsid w:val="15810AE8"/>
    <w:rsid w:val="254E0CD8"/>
    <w:rsid w:val="3C2B8503"/>
    <w:rsid w:val="3D09497A"/>
    <w:rsid w:val="42E11F0B"/>
    <w:rsid w:val="4B0DAC53"/>
    <w:rsid w:val="52B0F208"/>
    <w:rsid w:val="62A99109"/>
    <w:rsid w:val="7B744868"/>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imes New Roman" w:hAnsi="Times New Roman" w:eastAsia="Times New Roman" w:cs="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header" Target="header1.xml" Id="rId7" /><Relationship Type="http://schemas.openxmlformats.org/officeDocument/2006/relationships/fontTable" Target="fontTable.xml" Id="rId8" /></Relationships>
</file>

<file path=word/_rels/fontTable.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Nicolás Ocampo</lastModifiedBy>
  <revision>2</revision>
  <dcterms:created xsi:type="dcterms:W3CDTF">2026-06-12T15:22:00.2050000Z</dcterms:created>
  <dcterms:modified xsi:type="dcterms:W3CDTF">2026-06-12T15:53:44.3586420Z</dcterms:modified>
</coreProperties>
</file>

<file path=docProps/custom.xml><?xml version="1.0" encoding="utf-8"?>
<Properties xmlns="http://schemas.openxmlformats.org/officeDocument/2006/custom-properties" xmlns:vt="http://schemas.openxmlformats.org/officeDocument/2006/docPropsVTypes"/>
</file>