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706813AC" wp14:textId="6156F5F1">
      <w:pPr>
        <w:spacing w:after="80"/>
        <w:jc w:val="center"/>
      </w:pPr>
      <w:r w:rsidRPr="3F523891" w:rsidR="3F523891">
        <w:rPr>
          <w:rFonts w:ascii="Times New Roman" w:hAnsi="Times New Roman" w:eastAsia="Times New Roman" w:cs="Times New Roman"/>
          <w:b w:val="1"/>
          <w:bCs w:val="1"/>
          <w:sz w:val="36"/>
          <w:szCs w:val="36"/>
          <w:lang w:val="en-US"/>
        </w:rPr>
        <w:t>Nación, sentido</w:t>
      </w:r>
      <w:r w:rsidRPr="3F523891" w:rsidR="6CD00E7E">
        <w:rPr>
          <w:rFonts w:ascii="Times New Roman" w:hAnsi="Times New Roman" w:eastAsia="Times New Roman" w:cs="Times New Roman"/>
          <w:b w:val="1"/>
          <w:bCs w:val="1"/>
          <w:sz w:val="36"/>
          <w:szCs w:val="36"/>
          <w:lang w:val="en-US"/>
        </w:rPr>
        <w:t xml:space="preserve"> y religión</w:t>
      </w:r>
    </w:p>
    <w:p xmlns:wp14="http://schemas.microsoft.com/office/word/2010/wordml" w14:paraId="743411D9" wp14:textId="77777777">
      <w:pPr>
        <w:spacing w:after="60"/>
        <w:jc w:val="center"/>
      </w:pPr>
      <w:r w:rsidRPr="3F523891" w:rsidR="3F523891">
        <w:rPr>
          <w:rFonts w:ascii="Times New Roman" w:hAnsi="Times New Roman" w:eastAsia="Times New Roman" w:cs="Times New Roman"/>
          <w:i w:val="1"/>
          <w:iCs w:val="1"/>
          <w:sz w:val="26"/>
          <w:szCs w:val="26"/>
          <w:lang w:val="en-US"/>
        </w:rPr>
        <w:t>Hacia una metafísica del nacionalismo: de la jerarquía natural a la causa final católica</w:t>
      </w:r>
    </w:p>
    <w:p xmlns:wp14="http://schemas.microsoft.com/office/word/2010/wordml" w14:paraId="0BE4BACA" wp14:textId="77777777">
      <w:pPr>
        <w:spacing w:after="60"/>
        <w:jc w:val="center"/>
      </w:pPr>
      <w:r w:rsidRPr="3F523891" w:rsidR="3F523891">
        <w:rPr>
          <w:rFonts w:ascii="Times New Roman" w:hAnsi="Times New Roman" w:eastAsia="Times New Roman" w:cs="Times New Roman"/>
          <w:b w:val="1"/>
          <w:bCs w:val="1"/>
          <w:sz w:val="24"/>
          <w:szCs w:val="24"/>
        </w:rPr>
        <w:t>COSMICUS</w:t>
      </w:r>
    </w:p>
    <w:p xmlns:wp14="http://schemas.microsoft.com/office/word/2010/wordml" w14:paraId="6FDC76B9" wp14:textId="77777777">
      <w:pPr>
        <w:spacing w:after="60"/>
        <w:jc w:val="center"/>
      </w:pPr>
      <w:r w:rsidRPr="3F523891" w:rsidR="3F523891">
        <w:rPr>
          <w:rFonts w:ascii="Times New Roman" w:hAnsi="Times New Roman" w:eastAsia="Times New Roman" w:cs="Times New Roman"/>
          <w:i w:val="1"/>
          <w:iCs w:val="1"/>
          <w:sz w:val="22"/>
          <w:szCs w:val="22"/>
          <w:lang w:val="en-US"/>
        </w:rPr>
        <w:t>Unión Nacionalista Colombiana (UNC)</w:t>
      </w:r>
    </w:p>
    <w:p xmlns:wp14="http://schemas.microsoft.com/office/word/2010/wordml" w14:paraId="218C1D73" wp14:textId="77777777">
      <w:pPr>
        <w:pStyle w:val="Heading1"/>
      </w:pPr>
      <w:r w:rsidRPr="3F523891" w:rsidR="3F523891">
        <w:rPr>
          <w:lang w:val="en-US"/>
        </w:rPr>
        <w:t>Introducción</w:t>
      </w:r>
    </w:p>
    <w:p xmlns:wp14="http://schemas.microsoft.com/office/word/2010/wordml" w14:paraId="3D9873F1"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nacionalismo contemporáneo se debate, con frecuencia, entre dos polos igualmente insatisfactorios. Por un lado, el constructivismo radical, que reduce la nación a un artefacto político reciente, contingente y, en última instancia, manipulable a voluntad de las élites administrativas que la gestionan. Por otro lado, el biologicismo puro, que la reduce a mero sustrato racial, vaciando de sentido la dimensión histórica, cultural y espiritual que efectivamente la constituye como comunidad de destino. Ambos polos, aunque se presenten como opuestos irreconciliables en el debate público, comparten un mismo vício de método: tratan la nación como una realidad de una sola causa. El constructivista la explica enteramente por su causa eficiente —el aparato estatal y sus tecnologías de homogeneización—, mientras que el etnonacionalista la explica enteramente por su causa material —la sangre, el dato biológico—. Ninguno de los dos repara en que una realidad compleja como la nación exige, para ser comprendida cabalmente, el concurso de varias causas a la vez.</w:t>
      </w:r>
    </w:p>
    <w:p xmlns:wp14="http://schemas.microsoft.com/office/word/2010/wordml" w14:paraId="00ACAD64"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presente ensayo parte de esa insatisfacción y propone una vía alternativa: recuperar el aparato metafísico clásico —concretamente, la doctrina aristotélica de las cuatro causas, cristianizada por Tomás de Aquino— para dar cuenta de la nación en toda su complejidad ontológica. Esta no es una operación meramente académica o decorativa. Tiene consecuencias políticas inmediatas: permite, como se mostrará, sostener simultáneamente que el nacionalismo tiene una base natural y biológica legítima, que la nación no se reduce a esa base, que la crítica radical de una nación corrompida no exige su abandono sino su reforma, y que el elemento católico no es un añadido contingente a la identidad nacional colombiana, sino aquello que le otorga su causa final propiamente dicha.</w:t>
      </w:r>
    </w:p>
    <w:p xmlns:wp14="http://schemas.microsoft.com/office/word/2010/wordml" w14:paraId="52E81D64"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precisar, antes de avanzar, por qué se ha optado por el aparato aristotélico-tomista y no por alguno de los marcos teóricos más habituales en la literatura contemporánea sobre nacionalismo. La razón es de fondo, no de mera preferencia estética. Los marcos sociológicos dominantes —el modernismo de Gellner, el constructivismo de Anderson, incluso el etno-simbolismo de Smith, que es el más matizado de los tres— son, en su inmensa mayoría, marcos explicativos de carácter genético: explican cómo surgieron históricamente las naciones, qué condiciones materiales y tecnológicas las hicieron posibles, qué actores las impulsaron. Son, en este sentido, indispensables para la historia social del fenómeno nacional. Pero ninguno de ellos responde, ni pretende responder, a la pregunta normativa que a nosotros nos interesa: ¿qué debe hacer un nacionalista católico colombiano frente a una nación que, habiendo surgido como sea que haya surgido, se encuentra hoy desfigurada por corrientes ideológicas que le son ajenas? Esa pregunta es metafísica y moral, no meramente sociológica, y exige por tanto un aparato conceptual capaz de distinguir entre el ser de una cosa y sus accidentes, entre su sustrato material y su destino. Ese aparato es, precisamente, el de las cuatro causas.</w:t>
      </w:r>
    </w:p>
    <w:p xmlns:wp14="http://schemas.microsoft.com/office/word/2010/wordml" w14:paraId="179FE22F"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Nuestra tesis central, que se desarrollará en diez movimientos sucesivos, puede formularse así: el nacionalismo es, en su raíz, un acto natural del hombre, derivado de su tendencia constitutiva a organizarse jerárquicamente; esa naturalidad, lejos de agotar el fenómeno, exige ser completada por una forma cultural y, en último término, por una causa final de carácter trascendente; y, en el caso específico de la nación colombiana, esa causa final solo puede ser provista por la tradición católica, sin la cual la nación queda reducida a un aparato burocrático incapaz de generar lealtad real, sentido histórico o cohesión duradera; de todo ello se sigue, finalmente, un programa de acción concreto para nuestra organización.</w:t>
      </w:r>
    </w:p>
    <w:p xmlns:wp14="http://schemas.microsoft.com/office/word/2010/wordml" w14:paraId="205F296A"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Una última precisión metodológica resulta necesaria antes de iniciar el desarrollo propiamente dicho. El presente ensayo no pretende ofrecer una historia exhaustiva del nacionalismo colombiano, tarea que excedería ampliamente sus límites y que corresponde, en todo caso, a la historiografía especializada; tampoco pretende ofrecer un programa político detallado y técnicamente operativo para la acción inmediata de la UNC, tarea que corresponde a otros documentos de carácter más estratégico. Su propósito es más modesto y, a la vez, más fundamental: establecer el marco metafísico que debe orientar tanto la lectura de esa historia como el diseño de ese programa, de modo que ambos resulten coherentes entre sí y con los principios doctrinales que nuestra organización sostiene. Sin ese marco previo, tanto la narración histórica como la acción política corren el riesgo de fragmentarse en posiciones ad hoc, reactivas frente a cada coyuntura particular, incapaces de sostenerse con la coherencia interna que solo una doctrina sistemáticamente articulada puede ofrecer.</w:t>
      </w:r>
    </w:p>
    <w:p xmlns:wp14="http://schemas.microsoft.com/office/word/2010/wordml" w14:paraId="506FE2D1"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anticipar, además, una precisión sobre el alcance institucional de este ensayo dentro de la propia UNC. El presente documento se concibe como pieza doctrinal de referencia, destinada a orientar tanto la formación interna de cuadros examinada en la sección novena como la presencia pública y simbólica de la organización examinada en la sección décima; no sustituye, por tanto, a los documentos de naturaleza más estratégica, táctica o coyuntural que la organización requiere para su acción política inmediata, sino que provee el marco metafísico estable del cual esos documentos más específicos deberán, en cada caso, derivarse coherentemente, conforme al criterio de coherencia doctrinal que las secciones octava y décima de este ensayo han defendido explícitamente frente a los riesgos de la incoherencia entre principio y acción.</w:t>
      </w:r>
    </w:p>
    <w:p xmlns:wp14="http://schemas.microsoft.com/office/word/2010/wordml" w14:paraId="7744C79A"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primer movimiento establece el carácter natural del impulso nacionalista y su tránsito histórico del tribalismo al Estado-nación moderno, examinando con detalle cuatro posiciones —la constructivista, la sociobiológica, la etno-simbolista y la conservadora normativa— antes de proponer una síntesis propia. El segundo movimiento examina la tipología clásica del nacionalismo —cívico, cultural y étnico—, profundiza en el caso comparado franco-alemán, desarrolla con detenimiento la variante cristiana mediante Schmitt, Donoso Cortés y Gómez Dávila, y argumenta, mediante la analogía de la nación como familia extendida, que el deber ante una nación en decadencia moral no es el desarraigo sino la reforma. El tercer movimiento recurre a la doctrina clásica de la privación del bien (privatio boni), rastreada desde su origen agustiniano hasta su sistematización tomista, para resolver la objeción de una nación presuntamente «ontológicamente malvada», y aplica esa solución con detalle a tres corrupciones concretas del caso colombiano. El cuarto movimiento propone una solución al problema del etnonacionalismo mediante el esquema aristotélico-tomista de las cuatro causas. El quinto movimiento extrae de todo lo anterior un programa de acción política concreto para la Unión Nacionalista Colombiana.</w:t>
      </w:r>
    </w:p>
    <w:p xmlns:wp14="http://schemas.microsoft.com/office/word/2010/wordml" w14:paraId="7E00A46C" wp14:textId="77777777">
      <w:pPr>
        <w:pStyle w:val="Heading1"/>
      </w:pPr>
      <w:r w:rsidRPr="3F523891" w:rsidR="3F523891">
        <w:rPr>
          <w:lang w:val="en-US"/>
        </w:rPr>
        <w:t>1. El nacionalismo como acto natural</w:t>
      </w:r>
    </w:p>
    <w:p xmlns:wp14="http://schemas.microsoft.com/office/word/2010/wordml" w14:paraId="6667A8B4"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Sostenemos, como punto de partida, que el nacionalismo es un acto natural. Esta afirmación no debe entenderse en sentido ingenuamente esencialista, como si las naciones hubiesen existido siempre, idénticas a sí mismas, desde el origen de los tiempos. La afirmación debe entenderse en un sentido más preciso y, por ello mismo, más defendible: la naturaleza humana está atada, de modo constitutivo, a la búsqueda de modelos jerárquicos de organización social. El hombre no vive, ni ha vivido nunca, en un estado de igualdad indiferenciada; busca, instintivamente, ordenarse en estructuras de autoridad, pertenencia y diferenciación. Esa búsqueda jerárquica desencadena, en su primera expresión histórica, en el tribalismo —la organización en clanes y tribus basados en el parentesco real o percibido—, el cual termina evolucionando, a través de procesos políticos, económicos y simbólicos de larga duración, hacia el modelo moderno de Estado-nación.</w:t>
      </w:r>
    </w:p>
    <w:p xmlns:wp14="http://schemas.microsoft.com/office/word/2010/wordml" w14:paraId="06F6BC45" wp14:textId="77777777">
      <w:pPr>
        <w:pStyle w:val="Heading2"/>
      </w:pPr>
      <w:r w:rsidRPr="3F523891" w:rsidR="3F523891">
        <w:rPr>
          <w:lang w:val="en-US"/>
        </w:rPr>
        <w:t>1.1 La tesis constructivista de Anderson y sus límites</w:t>
      </w:r>
    </w:p>
    <w:p xmlns:wp14="http://schemas.microsoft.com/office/word/2010/wordml" w14:paraId="519532ED"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tesis, sin embargo, no puede sostenerse sin enfrentar de modo directo la objeción constructivista en su formulación más influyente, la de Benedict Anderson. Anderson sostiene que las naciones modernas son, ante todo, comunidades imaginadas: sus miembros nunca llegarán a conocerse entre sí personalmente, y sin embargo se sienten parte de un mismo cuerpo político gracias a tecnologías de homogeneización simbólica —la imprenta, la prensa periódica, la novela, el mapa, el censo— que solo emergen, como fenómeno de masas, entre los siglos XVIII y XIX. Para Anderson, el nacionalismo no expresa, por tanto, una esencia preexistente que la modernidad simplemente habría puesto de manifiesto; más bien, la produce activamente, mediante lo que él denomina el «capitalismo editorial». La nación, en esta lectura, sería menos un hecho de la naturaleza que un efecto de la imprenta.</w:t>
      </w:r>
    </w:p>
    <w:p xmlns:wp14="http://schemas.microsoft.com/office/word/2010/wordml" w14:paraId="6D792B8F"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detenerse en la fuerza real de este argumento antes de pasar a su crítica, pues despacharlo sin más sería intelectualmente deshonesto. Anderson tiene razón en señalar que el mapa político actual del mundo —con sus fronteras precisas, sus banderas estandarizadas, sus himnos compuestos por encargo estatal, sus relatos fundacionales fijados en libros de texto escolares— es, en efecto, un producto histórico relativamente reciente, y que las tecnologías de comunicación de masas jugaron un papel causal real en su consolidación. Esta tesis resulta valiosa en el plano histórico-descriptivo: en efecto, las fronteras contemporáneas, los himnos, las banderas, los relatos fundacionales canonizados por la educación pública, son construcciones recientes, datables, producidas por actores políticos identificables. Negar esto sería incurrir en un romanticismo histórico insostenible, del tipo que pretende que la nación colombiana, por ejemplo, existió «en esencia» durante la Colonia esperando simplemente su independencia política.</w:t>
      </w:r>
    </w:p>
    <w:p xmlns:wp14="http://schemas.microsoft.com/office/word/2010/wordml" w14:paraId="1F0B59D5"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Pero de ese reconocimiento descriptivo no se sigue, como pretende el constructivismo radical en su versión más fuerte, que el fenómeno nacionalista carezca de toda base antropológica anterior y más profunda que la simple tecnología editorial. Hay aquí un salto lógico que Anderson y sus seguidores rara vez justifican explícitamente: del hecho correcto de que las formas específicas de la nación moderna son recientes, se infiere, sin argumento adicional, que la disposición humana a agruparse en comunidades de pertenencia exclusiva también lo es. Esa inferencia es la que debe ser examinada con cuidado.</w:t>
      </w:r>
    </w:p>
    <w:p xmlns:wp14="http://schemas.microsoft.com/office/word/2010/wordml" w14:paraId="25A5801A" wp14:textId="77777777">
      <w:pPr>
        <w:pStyle w:val="Heading2"/>
      </w:pPr>
      <w:r w:rsidRPr="3F523891" w:rsidR="3F523891">
        <w:rPr>
          <w:lang w:val="en-US"/>
        </w:rPr>
        <w:t>1.2 El correctivo sociobiológico de van den Berghe</w:t>
      </w:r>
    </w:p>
    <w:p xmlns:wp14="http://schemas.microsoft.com/office/word/2010/wordml" w14:paraId="26E9F89E"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Aquí es donde la sociobiología ofrece el correctivo necesario. Pierre van den Berghe argumenta que la etnicidad y el nacionalismo serían, en última instancia, extensiones del nepotismo: del instinto evolutivo, verificable en prácticamente todas las especies sociales, de favorecer a los parientes genéticos sobre los extraños. Los grupos étnicos funcionarían, en esta lectura, como macro-familias basadas en un parentesco percibido —real o simbólico, pero psicológicamente operativo—. La clave del argumento de van den Berghe no es que cada miembro de una nación sea, literalmente, pariente genético cercano de cada otro miembro —lo cual sería empíricamente falso en la mayoría de los casos—, sino que el mecanismo psicológico que activa la lealtad nacional es estructuralmente el mismo que activa la lealtad familiar: la percepción, aunque sea simbólica, de un parentesco compartido.</w:t>
      </w:r>
    </w:p>
    <w:p xmlns:wp14="http://schemas.microsoft.com/office/word/2010/wordml" w14:paraId="03302383"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Si esta tesis es correcta, entonces la necesidad de pertenecer a un grupo cohesionado no es ella misma una construcción histórica contingente que pudiera, en principio, no haber existido; es un rasgo biológico que el Estado-nación simplemente aprendió a canalizar y amplificar a una escala antes inimaginable. Esto permite reformular la relación entre la tesis de Anderson y la de van den Berghe no como una contradicción sino como una complementariedad mal entendida: Anderson explica correctamente cómo la imprenta y el Estado moderno lograron extender el mecanismo de lealtad nepotista, diseñado por la evolución para grupos pequeños de parentesco real, hacia comunidades de millones de desconocidos. Pero ese mecanismo, el sustrato psicológico sobre el que opera la maquinaria editorial, no fue creado por la imprenta; preexistía a ella y la hizo posible.</w:t>
      </w:r>
    </w:p>
    <w:p xmlns:wp14="http://schemas.microsoft.com/office/word/2010/wordml" w14:paraId="19F4BD96" wp14:textId="77777777">
      <w:pPr>
        <w:pStyle w:val="Heading2"/>
      </w:pPr>
      <w:r w:rsidRPr="3F523891" w:rsidR="3F523891">
        <w:rPr>
          <w:lang w:val="en-US"/>
        </w:rPr>
        <w:t>1.3 El etno-simbolismo de Anthony D. Smith</w:t>
      </w:r>
    </w:p>
    <w:p xmlns:wp14="http://schemas.microsoft.com/office/word/2010/wordml" w14:paraId="631826F1"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Anthony D. Smith, desde la historiografía comparada, confirma esta intuición sin caer en el reduccionismo biológico de van den Berghe. Smith sostiene que la inmensa mayoría de las naciones modernas posee raíces étnicas premodernas reales y verificables: mitos de ascendencia común, una memoria histórica compartida y transmitida generacionalmente, un acervo cultural distintivo, y un vínculo afectivo con un territorio determinado que antecede, en todos los casos estudiados, a la construcción política moderna. A estos núcleos premodernos los denomina «ethnies». La construcción nacionalista moderna, sostiene Smith, trabaja casi siempre sobre este material preexistente; lo reorganiza, lo politiza, lo instrumentaliza incluso, pero no lo crea ex nihilo.</w:t>
      </w:r>
    </w:p>
    <w:p xmlns:wp14="http://schemas.microsoft.com/office/word/2010/wordml" w14:paraId="3EF44935"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mérito específico de Smith, frente a Anderson, es metodológico: en lugar de generalizar a partir de los casos europeos de formación nacional tardía —que efectivamente se ajustan bien al modelo del «capitalismo editorial»—, Smith examina casos de continuidad étnica de larga duración, como el armenio, el judío o el coreano, donde el sentido de pertenencia nacional antecede en siglos, y en algunos casos en milenios, a cualquier tecnología de imprenta. El nacionalismo moderno sería, en esta lectura intermedia entre Anderson y van den Berghe, una nueva forma política que se inserta sobre un sustrato antropológico real, no una pura invención discursiva flotando sobre el vacío. Para el caso colombiano, esto tiene una implicación directa: aun aceptando que la república como forma jurídica es una construcción decimonónica, no se sigue que la identidad hispánica-católica que la precede, formada durante tres siglos de dominio colonial, carezca de realidad histórica propia.</w:t>
      </w:r>
    </w:p>
    <w:p xmlns:wp14="http://schemas.microsoft.com/office/word/2010/wordml" w14:paraId="382C80C2"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Smith distingue, además, entre lo que denomina naciones «laterales» o aristocráticas, formadas de arriba hacia abajo por una élite gobernante que incorpora gradualmente a las masas populares, y naciones «verticales» o demoticas, formadas a partir de comunidades étnicas populares que luego acceden al poder político. Esta distinción resulta útil para comprender la especificidad del caso hispanoamericano: a diferencia de los procesos de unificación nacional europeos del siglo XIX —el italiano o el alemán, típicamente verticales, construidos sobre una base étnico-lingüística popular previa—, la formación de las naciones hispanoamericanas fue predominantemente lateral: una élite criolla, heredera de la administración colonial española, impuso desde arriba un marco jurídico republicano sobre poblaciones étnicamente heterogéneas —indígenas, mestizas, afrodescendientes, blancas— sin que existiera previamente una «ethnie» única equivalente a la italiana o la alemana. Esto explica, en parte, por qué el nacionalismo étnico en sentido estricto resulta menos aplicable al contexto hispanoamericano que el nacionalismo cultural-religioso, cuestión que se desarrollará con mayor detalle en la sección cuarta de este ensayo.</w:t>
      </w:r>
    </w:p>
    <w:p xmlns:wp14="http://schemas.microsoft.com/office/word/2010/wordml" w14:paraId="42E1D2C7" wp14:textId="77777777">
      <w:pPr>
        <w:pStyle w:val="Heading2"/>
      </w:pPr>
      <w:r w:rsidRPr="3F523891" w:rsidR="3F523891">
        <w:rPr>
          <w:lang w:val="en-US"/>
        </w:rPr>
        <w:t>1.4 La objeción modernista de Gellner y su límite</w:t>
      </w:r>
    </w:p>
    <w:p xmlns:wp14="http://schemas.microsoft.com/office/word/2010/wordml" w14:paraId="6AEC4122"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examinar, antes de pasar al argumento normativo de Scruton, una última objeción de peso dentro del campo constructivista: la tesis modernista de Ernest Gellner, distinta en su fundamento de la de Anderson aunque convergente en su conclusión general. Gellner argumenta que el nacionalismo es funcionalmente necesario para las sociedades industriales: la industrialización exige una población alfabetizada y culturalmente homogénea para que el mercado de trabajo funcione eficientemente, de modo que el Estado-nación es la estructura política que provee esa homogeneización necesaria. El nacionalismo, para Gellner, no expresa una nación preexistente, sino que la crea activamente para satisfacer las necesidades funcionales de la economía industrial moderna.</w:t>
      </w:r>
    </w:p>
    <w:p xmlns:wp14="http://schemas.microsoft.com/office/word/2010/wordml" w14:paraId="37B11C65"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tesis comparte con la de Anderson el rasgo constructivista general, pero se distingue de ella en su mecanismo causal: mientras Anderson pone el acento en la tecnología de comunicación, Gellner lo pone en la estructura económica subyacente. Ambas tesis, sin embargo, comparten la misma limitación que ya hemos señalado respecto de Anderson: explican correctamente por qué el nacionalismo adquirió su forma política específica en un momento histórico determinado, pero no logran explicar por qué esa forma política resultó tan eficaz para movilizar lealtades profundas, sacrificio personal e incluso entrega de la vida, fenómenos que un mero cálculo funcional respecto de las necesidades del mercado laboral industrial difícilmente podría explicar por sí solo. El obrero que muere en una guerra por su patria no lo hace, evidentemente, por una reflexión consciente sobre las necesidades de homogeneización del mercado de trabajo industrial; lo hace porque experimenta hacia su nación una lealtad de tipo cuasi-familiar, que es precisamente lo que la tesis de van den Berghe permite explicar y la de Gellner deja sin explicación satisfactoria.</w:t>
      </w:r>
    </w:p>
    <w:p xmlns:wp14="http://schemas.microsoft.com/office/word/2010/wordml" w14:paraId="2AA25F20" wp14:textId="77777777">
      <w:pPr>
        <w:pStyle w:val="Heading2"/>
      </w:pPr>
      <w:r w:rsidRPr="3F523891" w:rsidR="3F523891">
        <w:rPr>
          <w:lang w:val="en-US"/>
        </w:rPr>
        <w:t>1.5 La oikofilia como fundamento normativo: Roger Scruton</w:t>
      </w:r>
    </w:p>
    <w:p xmlns:wp14="http://schemas.microsoft.com/office/word/2010/wordml" w14:paraId="6E00F2B9"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Roger Scruton aporta, desde la filosofía política conservadora contemporánea, el argumento normativo que falta en los autores anteriores, todos ellos predominantemente descriptivos. Scruton introduce el concepto de oikofilia —el amor al hogar propio, a lo cercano y concreto— como necesidad humana real y legítima, no como ideología contingente que pudiera ser sustituida sin pérdida por un cosmopolitismo abstracto. Frente al universalismo de las élites transnacionales, que pretenden disolver toda lealtad particular en una identidad genéricamente humana, Scruton sostiene que son precisamente las lealtades concretas —la familia, el vecindario, la nación— las que permiten la cohesión social efectiva y, con ella, el funcionamiento mismo de las instituciones democráticas.</w:t>
      </w:r>
    </w:p>
    <w:p xmlns:wp14="http://schemas.microsoft.com/office/word/2010/wordml" w14:paraId="10B7FAFF"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Sin oikofilia, argumenta Scruton, no hay disposición real al sacrificio cívico, ni sentido de responsabilidad intergeneracional, ni límite natural a la corrupción de lo público por intereses puramente privados. Esta observación resulta especialmente pertinente para el contexto colombiano contemporáneo, donde buena parte del discurso político oficial —tanto de la izquierda internacionalista como de cierto liberalismo tecnocrático de derecha— tiende a presentar el apego a lo propio, a lo nacional, incluso a lo regional, como un residuo premoderno a superar en nombre de la integración global o continental. Scruton permite responder a esa presentación con un argumento filosófico de fondo, no meramente sentimental: el desarraigo deliberado no produce ciudadanos más racionales o más libres, sino sujetos políticamente atómicos, incapaces de sostener compromisos que excedan el cálculo de su interés inmediato.</w:t>
      </w:r>
    </w:p>
    <w:p xmlns:wp14="http://schemas.microsoft.com/office/word/2010/wordml" w14:paraId="79BD5B7D" wp14:textId="77777777">
      <w:pPr>
        <w:pStyle w:val="Heading2"/>
      </w:pPr>
      <w:r w:rsidRPr="3F523891" w:rsidR="3F523891">
        <w:rPr>
          <w:lang w:val="en-US"/>
        </w:rPr>
        <w:t>1.6 El caso colombiano frente a las cuatro posiciones examinadas</w:t>
      </w:r>
    </w:p>
    <w:p xmlns:wp14="http://schemas.microsoft.com/office/word/2010/wordml" w14:paraId="5C0C91E0"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Antes de sintetizar este primer movimiento, conviene detenerse brevemente en cómo se proyecta sobre el caso colombiano específico cada una de las cuatro posiciones examinadas, pues esa proyección permite anticipar, ya desde esta primera sección, el diagnóstico que se desarrollará con mayor detalle en las secciones siguientes. Desde la perspectiva de Anderson, Colombia sería, ante todo, el producto de un proceso de imprenta y educación pública decimonónico que homogeneizó, a partir de la dispersión geográfica característica de la geografía andina, una identidad nacional compartida sobre poblaciones previamente fragmentadas por la cordillera y la selva. Esta lectura no es del todo falsa: la dificultad geográfica colombiana retrasó, en efecto, la consolidación de una identidad nacional unificada respecto de otros casos hispanoamericanos de geografía más homogénea, y la centralización educativa bogotana jugó un papel real en superar esa fragmentación.</w:t>
      </w:r>
    </w:p>
    <w:p xmlns:wp14="http://schemas.microsoft.com/office/word/2010/wordml" w14:paraId="34388C64"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Desde la perspectiva de van den Berghe, sin embargo, esa identidad compartida no habría surgido de la nada gracias a la imprenta, sino que habría canalizado un sustrato de lealtades regionales y familiares preexistentes —la identidad antioqueña, la santandereana, la costeña, la vallecaucana— que el regionalismo colombiano, todavía hoy notablemente vivo, confirma empíricamente: el colombiano promedio experimenta, junto a su identidad nacional, una lealtad regional de tipo cuasi-familiar que la tesis puramente constructivista de Anderson difícilmente explicaría sin recurrir, precisamente, al mecanismo nepotista identificado por la sociobiología. Desde la perspectiva de Smith, el caso colombiano confirmaría la existencia de múltiples «ethnies» regionales premodernas —herederas de las distintas configuraciones coloniales regionales— sobre las cuales se constituyó, de modo lateral y no sin tensiones persistentes, la nación republicana del siglo XIX. Y desde la perspectiva normativa de Scruton, finalmente, la fortaleza relativa de esas lealtades regionales colombianas, lejos de ser un defecto a superar mediante mayor centralización estatal, constituiría precisamente la base de oikofilia concreta sobre la cual debería edificarse cualquier proyecto de restauración nacional coherente, tal como se argumentará con mayor detalle programático en la sección quinta de este ensayo.</w:t>
      </w:r>
    </w:p>
    <w:p xmlns:wp14="http://schemas.microsoft.com/office/word/2010/wordml" w14:paraId="660FC556" wp14:textId="77777777">
      <w:pPr>
        <w:pStyle w:val="Heading2"/>
      </w:pPr>
      <w:r w:rsidRPr="3F523891" w:rsidR="3F523891">
        <w:rPr>
          <w:lang w:val="en-US"/>
        </w:rPr>
        <w:t>1.7 Síntesis del primer movimiento</w:t>
      </w:r>
    </w:p>
    <w:p xmlns:wp14="http://schemas.microsoft.com/office/word/2010/wordml" w14:paraId="68CCA77D"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De este primer movimiento argumentativo, articulado en cuatro posiciones sucesivamente matizadas, se desprende una tesis que articulará el resto del ensayo, y que conviene formular ya con toda precisión: el Estado-nación es, en esencia, una extensión del concepto de familia a gran escala. No se trata de una metáfora ornamental, sino de una analogía estructural con consecuencias normativas exactas. Anderson nos enseña cómo se construyó históricamente la forma específica de esa extensión; van den Berghe nos enseña el mecanismo psicológico nepotista que la hace posible; Smith nos enseña que esa construcción rara vez parte de cero; y Scruton nos enseña por qué, normativamente, esa extensión familiar merece ser defendida frente al universalismo abstracto. Esta síntesis será explorada en la sección siguiente frente al problema concreto de la decadencia moral de una nación.</w:t>
      </w:r>
    </w:p>
    <w:p xmlns:wp14="http://schemas.microsoft.com/office/word/2010/wordml" w14:paraId="4CA3C00B" wp14:textId="77777777">
      <w:pPr>
        <w:pStyle w:val="Heading1"/>
      </w:pPr>
      <w:r w:rsidRPr="3F523891" w:rsidR="3F523891">
        <w:rPr>
          <w:lang w:val="en-US"/>
        </w:rPr>
        <w:t>2. La tipología del cemento nacional y la analogía familiar</w:t>
      </w:r>
    </w:p>
    <w:p xmlns:wp14="http://schemas.microsoft.com/office/word/2010/wordml" w14:paraId="2BD6393C"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Si se acepta que la nación no se sostiene por la mera fuerza coactiva del aparato estatal, es preciso preguntarse cuál es, exactamente, el «cemento» que efectivamente la une y le da continuidad en el tiempo. La discusión contemporánea sobre el nacionalismo distingue, clásicamente, tres respuestas posibles a esta pregunta, cada una con sus propios teóricos, sus propios casos históricos ejemplares y sus propias dificultades internas.</w:t>
      </w:r>
    </w:p>
    <w:p xmlns:wp14="http://schemas.microsoft.com/office/word/2010/wordml" w14:paraId="22B5E275" wp14:textId="77777777">
      <w:pPr>
        <w:pStyle w:val="Heading2"/>
      </w:pPr>
      <w:r w:rsidRPr="3F523891" w:rsidR="3F523891">
        <w:rPr>
          <w:lang w:val="en-US"/>
        </w:rPr>
        <w:t>2.1 Las tres variantes clásicas</w:t>
      </w:r>
    </w:p>
    <w:p xmlns:wp14="http://schemas.microsoft.com/office/word/2010/wordml" w14:paraId="0C2237C0"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nacionalismo cívico sostiene que el vínculo que une a los miembros de una nación es la constitución política y el reconocimiento jurídico por parte del Estado, de modo que la nacionalidad se adquiere fundamentalmente por el hecho de nacer dentro de un territorio determinado y someterse a su ordenamiento jurídico, con independencia del origen étnico, religioso o cultural de los padres. Su atractivo es evidente: promete una integración rápida y formalmente igualitaria de poblaciones diversas, sin exigir de los nuevos miembros ninguna transformación cultural o espiritual profunda, bastando la adhesión a un marco legal compartido.</w:t>
      </w:r>
    </w:p>
    <w:p xmlns:wp14="http://schemas.microsoft.com/office/word/2010/wordml" w14:paraId="7B0E52D3"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nacionalismo cultural sostiene, en cambio, que la unión efectiva está dada por una cultura compartida —lengua, costumbres, tradiciones, formas de vida— que puede, en principio, ser aprendida y asimilada por quien no nació originalmente dentro de ella. Es, en este sentido, más exigente que el cívico, pues no basta el mero reconocimiento legal: se requiere una verdadera incorporación a un modo de vida. El nacionalismo étnico sostiene, por último, que lo que realmente une a una nación no es ni el papel constitucional ni la cultura aprendida, sino la raza: el vínculo de sangre, transmitido biológicamente, que ninguna asimilación cultural ni ningún reconocimiento jurídico puede sustituir. Es la variante más restrictiva de las tres, y también la que mayores objeciones morales y políticas suscita en el debate contemporáneo.</w:t>
      </w:r>
    </w:p>
    <w:p xmlns:wp14="http://schemas.microsoft.com/office/word/2010/wordml" w14:paraId="65319E6C" wp14:textId="77777777">
      <w:pPr>
        <w:pStyle w:val="Heading2"/>
      </w:pPr>
      <w:r w:rsidRPr="3F523891" w:rsidR="3F523891">
        <w:rPr>
          <w:lang w:val="en-US"/>
        </w:rPr>
        <w:t>2.2 El caso comparado: Brubaker entre Francia y Alemania</w:t>
      </w:r>
    </w:p>
    <w:p xmlns:wp14="http://schemas.microsoft.com/office/word/2010/wordml" w14:paraId="1F51FE43"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Rogers Brubaker ilustra históricamente, con notable precisión comparada, los dos primeros de estos modelos en su estudio sobre Francia y Alemania durante los siglos XIX y XX. El modelo francés desarrolló, desde la Revolución, una ciudadanía fundamentalmente cívico-territorial: el ius soli como criterio dominante de adquisición de la nacionalidad, y una poderosa política estatal de asimilación cultural de las minorías a través del aparato educativo republicano. La escuela francesa, en este modelo, no es solo un lugar de instrucción técnica, sino el instrumento privilegiado de fabricación de ciudadanos homogéneos a partir de poblaciones regionales y lingüísticamente diversas.</w:t>
      </w:r>
    </w:p>
    <w:p xmlns:wp14="http://schemas.microsoft.com/office/word/2010/wordml" w14:paraId="27F3B7A6"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modelo alemán desarrolló, en cambio, una pertenencia predominantemente étnico-cultural fundada en el ius sanguinis, esto es, en el vínculo de sangre como criterio primario y, durante largo tiempo, casi exclusivo de pertenencia nacional, con todas las consecuencias históricas —algunas legítimas, otras trágicamente desbordadas— que ese modelo trajo consigo a lo largo del siglo XX. Brubaker muestra que estas dos tradiciones jurídicas no son accidentes administrativos, sino que responden a concepciones filosóficas profundamente distintas sobre qué es, en última instancia, una nación: un contrato entre voluntades o una comunidad de origen. Para nuestros propósitos, el caso alemán sirve de advertencia sobre los riesgos del nacionalismo étnico llevado a su extremo excluyente, mientras el caso francés sirve de advertencia sobre los límites del nacionalismo cívico llevado a su extremo asimilacionista, que termina disolviendo toda particularidad cultural en una ciudadanía abstracta y, en última instancia, vacía.</w:t>
      </w:r>
    </w:p>
    <w:p xmlns:wp14="http://schemas.microsoft.com/office/word/2010/wordml" w14:paraId="16E51A94" wp14:textId="77777777">
      <w:pPr>
        <w:pStyle w:val="Heading2"/>
      </w:pPr>
      <w:r w:rsidRPr="3F523891" w:rsidR="3F523891">
        <w:rPr>
          <w:lang w:val="en-US"/>
        </w:rPr>
        <w:t>2.3 El nacionalismo cristiano y la forma política católica de Schmitt</w:t>
      </w:r>
    </w:p>
    <w:p xmlns:wp14="http://schemas.microsoft.com/office/word/2010/wordml" w14:paraId="670DDC93"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Dentro del nacionalismo cultural, sin embargo, se distingue una variante que resulta decisiva para los propósitos del presente ensayo, y que la tipología tripartita clásica suele tratar de modo insuficiente: el nacionalismo cristiano, en el cual la nación se somete voluntariamente a la religión católica y la hace parte constitutiva, no accesoria, de su identidad colectiva. Esta variante encuentra su formulación más rigurosa en el pensamiento de Carl Schmitt, quien sostiene, en su análisis de la forma política católica, que la Iglesia posee una capacidad única e insustituible de representación: puede dar forma visible, institucional y permanente a una idea —la idea de Cristo— de un modo que ninguna institución puramente técnico-económica ni ningún parlamentarismo liberal abstracto puede siquiera aproximar.</w:t>
      </w:r>
    </w:p>
    <w:p xmlns:wp14="http://schemas.microsoft.com/office/word/2010/wordml" w14:paraId="48F4443C"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Schmitt distingue, en este sentido, entre la representación propiamente dicha y la mera delegación técnica de funciones. Un parlamento liberal, sostiene, no representa nada en sentido fuerte; agrega intereses privados a través de un procedimiento de votación, pero no encarna ninguna idea que trascienda esos intereses agregados. La Iglesia católica, en cambio, puede afirmar que el Papa representa a Cristo, no en el sentido de que actúa como su delegado técnico, sino en el sentido de que hace presente, visiblemente, una realidad invisible. El nacionalismo cívico, sostenido únicamente sobre el aparato burocrático del Estado moderno, carece precisamente de esa capacidad representativa que Schmitt identifica como propia de lo católico, y por ello demuestra hoy, con creciente evidencia empírica en las democracias liberales contemporáneas, su insuficiencia constitutiva: una constitución escrita, por sí sola, no basta para generar un lazo de lealtad real y duradero si no existe, sosteniéndola, un sustrato histórico y espiritual detrás de la letra jurídica.</w:t>
      </w:r>
    </w:p>
    <w:p xmlns:wp14="http://schemas.microsoft.com/office/word/2010/wordml" w14:paraId="1BEB1E4F" wp14:textId="77777777">
      <w:pPr>
        <w:pStyle w:val="Heading2"/>
      </w:pPr>
      <w:r w:rsidRPr="3F523891" w:rsidR="3F523891">
        <w:rPr>
          <w:lang w:val="en-US"/>
        </w:rPr>
        <w:t>2.4 Donoso Cortés y Gómez Dávila: la radicalización tradicionalista</w:t>
      </w:r>
    </w:p>
    <w:p xmlns:wp14="http://schemas.microsoft.com/office/word/2010/wordml" w14:paraId="24DEF877"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Juan Donoso Cortés radicaliza esta intuición schmittiana desde el tradicionalismo católico decimonónico, sosteniendo que toda crisis política es, en su raíz última, una crisis teológica, y que la nación y el poder político solo alcanzan sentido y legitimidad plenos cuando se comprenden como parte de un orden providencial divino, jamás como el simple resultado de un contrato voluntario entre individuos aislados. Para Donoso, el liberalismo constitucional decimonónico —precisamente el marco jurídico bajo el cual nacieron las repúblicas hispanoamericanas— no es un régimen neutral entre otros posibles, sino una forma política que, al negar la providencia, queda estructuralmente incapacitada para resistir el avance de las ideologías revolucionarias que, según él anticipa con notable lucidez histórica, terminarán por desbordarlo.</w:t>
      </w:r>
    </w:p>
    <w:p xmlns:wp14="http://schemas.microsoft.com/office/word/2010/wordml" w14:paraId="73413BC9"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Nicolás Gómez Dávila, ya canónico en nuestra propia tradición intelectual, aporta en sus Escolios la formulación aforística que cierra este punto: la nación, como toda forma de civilización auténtica, es depositaria de un orden jerárquico y trascendente que la modernidad democrática e igualitaria erosiona sistemáticamente, y que solo una referencia metafísica superior —en nuestro caso, católica— puede preservar frente a esa erosión. A diferencia de Donoso, Gómez Dávila no propone un programa político restaurador concreto; su función en nuestro aparato argumentativo es, más bien, la de proveer el diagnóstico cultural agudo de la decadencia moderna, que Donoso y Schmitt permiten luego articular en términos de forma política y de teología política respectivamente.</w:t>
      </w:r>
    </w:p>
    <w:p xmlns:wp14="http://schemas.microsoft.com/office/word/2010/wordml" w14:paraId="1D96DC30" wp14:textId="77777777">
      <w:pPr>
        <w:pStyle w:val="Heading2"/>
      </w:pPr>
      <w:r w:rsidRPr="3F523891" w:rsidR="3F523891">
        <w:rPr>
          <w:lang w:val="en-US"/>
        </w:rPr>
        <w:t>2.5 Excurso: la crítica de la Nueva Derecha europea al universalismo cristiano</w:t>
      </w:r>
    </w:p>
    <w:p xmlns:wp14="http://schemas.microsoft.com/office/word/2010/wordml" w14:paraId="43EBB50F"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examinar, antes de proceder a la resolución de la objeción de la bancarrota moral, una corriente crítica que se opone frontalmente a la articulación católica del nacionalismo aquí defendida, y que conviene refutar explícitamente para que nuestra posición no quede vulnerable a una objeción previsible. Pensadores asociados a la llamada Nueva Derecha europea, como Alain de Benoist, han sostenido que el cristianismo, lejos de ser el fundamento natural de las identidades europeas e hispanoamericanas, constituye en realidad una imposición universalista de origen oriental, estructuralmente análoga al igualitarismo ilustrado que más tarde criticarían los mismos defensores del cristianismo. Según esta lectura, el verdadero fundamento identitario de los pueblos europeos sería un sustrato pagano-étnico anterior a la cristianización, que el cristianismo habría desplazado en nombre de una fraternidad universal indiferente a las particularidades étnicas.</w:t>
      </w:r>
    </w:p>
    <w:p xmlns:wp14="http://schemas.microsoft.com/office/word/2010/wordml" w14:paraId="7E9AB83D"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objeción, aplicada al contexto hispanoamericano, sostendría análogamente que el catolicismo es, en última instancia, una imposición colonial externa sobre las identidades indígenas precolombinas, y que la verdadera identidad nacional debería buscarse en esos sustratos prehispánicos, no en la síntesis católico-hispánica que este ensayo defiende. Frente a esta objeción, debe responderse en dos niveles. En primer lugar, en el nivel histórico-empírico: a diferencia del caso europeo, donde el cristianismo se superpuso efectivamente a sustratos paganos preexistentes durante varios siglos de evangelización gradual, en el caso hispanoamericano el catolicismo no es un elemento externo posterior a la formación de la identidad nacional, sino que es, junto con el mestizaje biológico, constitutivo del proceso mismo de formación de esa identidad: no existió nunca una «nación colombiana» prehispánica anterior al catolicismo que este hubiera desplazado, sino una pluralidad de pueblos indígenas distintos que, junto con la población española y africana, fueron precisamente sintetizados en una nueva identidad mestiza bajo la matriz cultural y religiosa católica.</w:t>
      </w:r>
    </w:p>
    <w:p xmlns:wp14="http://schemas.microsoft.com/office/word/2010/wordml" w14:paraId="17FF85BE"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segundo lugar, en el nivel propiamente filosófico, la objeción de la Nueva Derecha comete el mismo error categorial ya identificado en el etnonacionalismo puro: presupone que existe un sustrato étnico-pagano con teleología propia, anterior y superior a cualquier articulación cultural o religiosa posterior, cuando en realidad, conforme al esquema de las cuatro causas que se desarrollará con detalle en la sección cuarta, ningún sustrato étnico posee, por sí mismo, una dirección teleológica propia; toda dirección teleológica proviene necesariamente de una causa formal y final que el paganismo europeo, por su propia estructura politeísta y fragmentaria, nunca pudo proveer con la coherencia representativa que Schmitt atribuye específicamente al catolicismo.</w:t>
      </w:r>
    </w:p>
    <w:p xmlns:wp14="http://schemas.microsoft.com/office/word/2010/wordml" w14:paraId="5DF88798" wp14:textId="77777777">
      <w:pPr>
        <w:pStyle w:val="Heading2"/>
      </w:pPr>
      <w:r w:rsidRPr="3F523891" w:rsidR="3F523891">
        <w:rPr>
          <w:lang w:val="en-US"/>
        </w:rPr>
        <w:t>2.6 La objeción de la bancarrota moral</w:t>
      </w:r>
    </w:p>
    <w:p xmlns:wp14="http://schemas.microsoft.com/office/word/2010/wordml" w14:paraId="5DC2B2F9"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Aceptada la analogía, defendida en la sección anterior, de la nación como familia a gran escala, surge sin embargo una objeción legítima que no puede ser eludida: ¿qué ocurre, exactamente, cuando esa familia se encuentra en bancarrota moral? ¿Qué debe hacer quien ama de verdad a su nación cuando constata que esta, en su estado presente, ha traído lo corrompido a su propio seno? La intuición inmediata, especialmente para una sensibilidad formada en el individualismo liberal contemporáneo, podría sugerir el desarraigo: el abandono moral, e incluso físico, de la nación corrupta, en favor de una identidad más pura, más abstracta, o simplemente más cómoda.</w:t>
      </w:r>
    </w:p>
    <w:p xmlns:wp14="http://schemas.microsoft.com/office/word/2010/wordml" w14:paraId="1629EFF8"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objeción no debe subestimarse, pues recoge una intuición moral genuina: nadie está obligado, en sentido absoluto, a permanecer leal a una institución que se ha vuelto manifiestamente injusta. El propio derecho natural clásico reconoce, en ciertas condiciones extremas, la legitimidad de la resistencia frente a la tiranía. La pregunta, por tanto, no es si existen límites a la lealtad nacional —los hay—, sino si el criterio para determinar esos límites es la mera insatisfacción moral presente, o algo más exigente.</w:t>
      </w:r>
    </w:p>
    <w:p xmlns:wp14="http://schemas.microsoft.com/office/word/2010/wordml" w14:paraId="20BDB203" wp14:textId="77777777">
      <w:pPr>
        <w:pStyle w:val="Heading2"/>
      </w:pPr>
      <w:r w:rsidRPr="3F523891" w:rsidR="3F523891">
        <w:rPr>
          <w:lang w:val="en-US"/>
        </w:rPr>
        <w:t>2.7 La analogía familiar resuelta: reforma, no desarraigo</w:t>
      </w:r>
    </w:p>
    <w:p xmlns:wp14="http://schemas.microsoft.com/office/word/2010/wordml" w14:paraId="652CA267"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Sostenemos, en respuesta, que la analogía familiar conduce, si se la sigue con rigor hasta el final, precisamente a la conclusión contraria a la del desarraigo fácil. A un socio comercial se lo abandona legítimamente si quiebra, porque el lazo que lo une a uno es puramente contractual, instrumental, revocable por definición; el contrato se disuelve cuando ya no sirve a los fines para los que fue suscrito, y no hay en ello ninguna falta moral. A un padre o a un hermano en decadencia moral, en cambio —siguiendo con rigor la analogía de la familia que el nacionalismo cultural y, más aún, el cristiano, reclaman para la nación—, no se lo abandona sin más; se busca reformarlo, corregirlo, e incluso salvarlo de sí mismo, en virtud precisamente de un lazo que no es contractual sino sustancial, que no depende del mérito presente del otro sino de una pertenencia anterior a todo cálculo.</w:t>
      </w:r>
    </w:p>
    <w:p xmlns:wp14="http://schemas.microsoft.com/office/word/2010/wordml" w14:paraId="64AD2F12"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Si, por tanto, la nación se encuentra en bancarrota moral, la respuesta congruente con su propia naturaleza no es el desarraigo ni la apostasía de la patria, sino el deber, más exigente y más noble, de restablecer su ethos tradicional desde dentro. El nacionalismo cívico, en este punto preciso, revela su segunda gran insuficiencia, distinta de la ya señalada por Schmitt: si la nación es, para esta corriente, únicamente el producto de una constitución y un reconocimiento jurídico, entonces no hay, en rigor, nada sustancial que reformar cuando la nación decae moralmente; basta con reformar la ley, o en el extremo, con redactar una nueva constitución, y el problema quedaría resuelto por definición administrativa.</w:t>
      </w:r>
    </w:p>
    <w:p xmlns:wp14="http://schemas.microsoft.com/office/word/2010/wordml" w14:paraId="2C98719B"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solución, sin embargo, es precisamente la que la experiencia histórica reciente desmiente de modo más contundente: las reformas constitucionales, por sí solas, no regeneran el ethos de un pueblo cuando este se ha corrompido en su sustrato cultural y espiritual. Colombia misma ofrece un caso de estudio elocuente: la proliferación de reformas constitucionales y legales desde 1991 no ha producido, frente al diagnóstico de buena parte del espectro político nacional, una regeneración correspondiente del ethos cívico, lo cual confirma, en el plano empírico, la insuficiencia teórica que aquí se argumenta en el plano filosófico. El nacionalismo cultural y, específicamente, nuestra propia tradición católica, es lo que eleva a la nación a un plano metafísico y civilizatorio capaz de dar sentido real a la noción de reforma, de orden y de trascendencia que un simple Estado burocrático jamás podrá ofrecer por sí mismo.</w:t>
      </w:r>
    </w:p>
    <w:p xmlns:wp14="http://schemas.microsoft.com/office/word/2010/wordml" w14:paraId="3E8CDBAC" wp14:textId="77777777">
      <w:pPr>
        <w:pStyle w:val="Heading1"/>
      </w:pPr>
      <w:r w:rsidRPr="3F523891" w:rsidR="3F523891">
        <w:rPr>
          <w:lang w:val="en-US"/>
        </w:rPr>
        <w:t>3. La objeción de la nación ontológicamente malvada y la doctrina de la privatio boni</w:t>
      </w:r>
    </w:p>
    <w:p xmlns:wp14="http://schemas.microsoft.com/office/word/2010/wordml" w14:paraId="0D5B5179"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 conclusión alcanzada en la sección anterior —que el deber ante una nación en decadencia moral es la reforma, no el desarraigo— enfrenta, sin embargo, una objeción de fondo que conviene examinar con todo el rigor que merece, pues toca el corazón mismo de la cuestión: ¿qué ocurre si el caso, lejos de ser una nación meramente corrompida en sus accidentes históricos, fuese el de una nación ontológicamente malvada, es decir, mala no por accidente sino en su propio ser constitutivo? Si tal caso fuera conceptualmente posible, la analogía familiar perdería toda su fuerza normativa, pues no tendría sentido reformar lo que es malo por esencia; en tal caso, el desarraigo no sería apostasía, sino la única respuesta racionalmente exigible.</w:t>
      </w:r>
    </w:p>
    <w:p xmlns:wp14="http://schemas.microsoft.com/office/word/2010/wordml" w14:paraId="14EF3177"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 necesario aclarar, antes de proceder, que esta hipótesis extrema no se aplica, en nuestro juicio, a la inmensa mayoría de los casos históricos concretos, y ciertamente no se aplica a Colombia. Se trata de una hipótesis límite, introducida con propósitos de rigor conceptual, que sin embargo exige una respuesta filosófica precisa, pues de lo contrario quedaría abierta la puerta para que cualquier crítico de mala fe pudiera, en cualquier momento, declarar a una nación «ontológicamente malvada» para justificar su abandono o su disolución deliberada.</w:t>
      </w:r>
    </w:p>
    <w:p xmlns:wp14="http://schemas.microsoft.com/office/word/2010/wordml" w14:paraId="1C77ADF2" wp14:textId="77777777">
      <w:pPr>
        <w:pStyle w:val="Heading2"/>
      </w:pPr>
      <w:r w:rsidRPr="3F523891" w:rsidR="3F523891">
        <w:rPr>
          <w:lang w:val="en-US"/>
        </w:rPr>
        <w:t>3.1 Las raíces neoplatónicas de la doctrina</w:t>
      </w:r>
    </w:p>
    <w:p xmlns:wp14="http://schemas.microsoft.com/office/word/2010/wordml" w14:paraId="7082A7B4"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Antes de examinar la formulación específicamente cristiana de la doctrina de la privatio boni en Agustín y en Tomás, conviene señalar que sus raíces filosóficas se remontan, en realidad, al neoplatonismo pagano tardío, particularmente a Plotino, de quien Agustín toma prestados elementos conceptuales decisivos antes incluso de su conversión definitiva al cristianismo. Plotino sostiene, en sus Enéadas, que toda la realidad procede, por sucesivas emanaciones, del Uno absolutamente simple y trascendente, y que el mal aparece únicamente en los grados más bajos de esa emanación, allí donde la materia, en cuanto principio de indeterminación y de límite, se aleja máximamente de la perfección original del Uno. Para Plotino, como más tarde para Agustín, el mal no es una sustancia positiva opuesta al bien, sino una privación, un déficit de ser que aumenta a medida que la realidad se aleja de su fuente.</w:t>
      </w:r>
    </w:p>
    <w:p xmlns:wp14="http://schemas.microsoft.com/office/word/2010/wordml" w14:paraId="727612E9" wp14:textId="71C79598">
      <w:pPr>
        <w:spacing w:after="160" w:line="360" w:lineRule="auto"/>
        <w:ind w:firstLine="480"/>
        <w:jc w:val="both"/>
      </w:pPr>
      <w:r w:rsidRPr="3F523891" w:rsidR="3F523891">
        <w:rPr>
          <w:rFonts w:ascii="Times New Roman" w:hAnsi="Times New Roman" w:eastAsia="Times New Roman" w:cs="Times New Roman"/>
          <w:sz w:val="24"/>
          <w:szCs w:val="24"/>
          <w:lang w:val="en-US"/>
        </w:rPr>
        <w:t xml:space="preserve">Esta </w:t>
      </w:r>
      <w:r w:rsidRPr="3F523891" w:rsidR="3F523891">
        <w:rPr>
          <w:rFonts w:ascii="Times New Roman" w:hAnsi="Times New Roman" w:eastAsia="Times New Roman" w:cs="Times New Roman"/>
          <w:sz w:val="24"/>
          <w:szCs w:val="24"/>
          <w:lang w:val="en-US"/>
        </w:rPr>
        <w:t>genealogía</w:t>
      </w:r>
      <w:r w:rsidRPr="3F523891" w:rsidR="3F523891">
        <w:rPr>
          <w:rFonts w:ascii="Times New Roman" w:hAnsi="Times New Roman" w:eastAsia="Times New Roman" w:cs="Times New Roman"/>
          <w:sz w:val="24"/>
          <w:szCs w:val="24"/>
          <w:lang w:val="en-US"/>
        </w:rPr>
        <w:t xml:space="preserve"> no es un </w:t>
      </w:r>
      <w:r w:rsidRPr="3F523891" w:rsidR="3F523891">
        <w:rPr>
          <w:rFonts w:ascii="Times New Roman" w:hAnsi="Times New Roman" w:eastAsia="Times New Roman" w:cs="Times New Roman"/>
          <w:sz w:val="24"/>
          <w:szCs w:val="24"/>
          <w:lang w:val="en-US"/>
        </w:rPr>
        <w:t>mero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dato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erudito</w:t>
      </w:r>
      <w:r w:rsidRPr="3F523891" w:rsidR="3F523891">
        <w:rPr>
          <w:rFonts w:ascii="Times New Roman" w:hAnsi="Times New Roman" w:eastAsia="Times New Roman" w:cs="Times New Roman"/>
          <w:sz w:val="24"/>
          <w:szCs w:val="24"/>
          <w:lang w:val="en-US"/>
        </w:rPr>
        <w:t xml:space="preserve"> sin </w:t>
      </w:r>
      <w:r w:rsidRPr="3F523891" w:rsidR="3F523891">
        <w:rPr>
          <w:rFonts w:ascii="Times New Roman" w:hAnsi="Times New Roman" w:eastAsia="Times New Roman" w:cs="Times New Roman"/>
          <w:sz w:val="24"/>
          <w:szCs w:val="24"/>
          <w:lang w:val="en-US"/>
        </w:rPr>
        <w:t>consecuencias</w:t>
      </w:r>
      <w:r w:rsidRPr="3F523891" w:rsidR="3F523891">
        <w:rPr>
          <w:rFonts w:ascii="Times New Roman" w:hAnsi="Times New Roman" w:eastAsia="Times New Roman" w:cs="Times New Roman"/>
          <w:sz w:val="24"/>
          <w:szCs w:val="24"/>
          <w:lang w:val="en-US"/>
        </w:rPr>
        <w:t xml:space="preserve"> para </w:t>
      </w:r>
      <w:r w:rsidRPr="3F523891" w:rsidR="3F523891">
        <w:rPr>
          <w:rFonts w:ascii="Times New Roman" w:hAnsi="Times New Roman" w:eastAsia="Times New Roman" w:cs="Times New Roman"/>
          <w:sz w:val="24"/>
          <w:szCs w:val="24"/>
          <w:lang w:val="en-US"/>
        </w:rPr>
        <w:t>nuestro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argumento</w:t>
      </w:r>
      <w:r w:rsidRPr="3F523891" w:rsidR="3F523891">
        <w:rPr>
          <w:rFonts w:ascii="Times New Roman" w:hAnsi="Times New Roman" w:eastAsia="Times New Roman" w:cs="Times New Roman"/>
          <w:sz w:val="24"/>
          <w:szCs w:val="24"/>
          <w:lang w:val="en-US"/>
        </w:rPr>
        <w:t xml:space="preserve">; al </w:t>
      </w:r>
      <w:r w:rsidRPr="3F523891" w:rsidR="3F523891">
        <w:rPr>
          <w:rFonts w:ascii="Times New Roman" w:hAnsi="Times New Roman" w:eastAsia="Times New Roman" w:cs="Times New Roman"/>
          <w:sz w:val="24"/>
          <w:szCs w:val="24"/>
          <w:lang w:val="en-US"/>
        </w:rPr>
        <w:t>contrario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refuerza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su</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solidez</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filosófica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pues</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muestra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que</w:t>
      </w:r>
      <w:r w:rsidRPr="3F523891" w:rsidR="3F523891">
        <w:rPr>
          <w:rFonts w:ascii="Times New Roman" w:hAnsi="Times New Roman" w:eastAsia="Times New Roman" w:cs="Times New Roman"/>
          <w:sz w:val="24"/>
          <w:szCs w:val="24"/>
          <w:lang w:val="en-US"/>
        </w:rPr>
        <w:t xml:space="preserve"> la </w:t>
      </w:r>
      <w:r w:rsidRPr="3F523891" w:rsidR="3F523891">
        <w:rPr>
          <w:rFonts w:ascii="Times New Roman" w:hAnsi="Times New Roman" w:eastAsia="Times New Roman" w:cs="Times New Roman"/>
          <w:sz w:val="24"/>
          <w:szCs w:val="24"/>
          <w:lang w:val="en-US"/>
        </w:rPr>
        <w:t>doctrina</w:t>
      </w:r>
      <w:r w:rsidRPr="3F523891" w:rsidR="3F523891">
        <w:rPr>
          <w:rFonts w:ascii="Times New Roman" w:hAnsi="Times New Roman" w:eastAsia="Times New Roman" w:cs="Times New Roman"/>
          <w:sz w:val="24"/>
          <w:szCs w:val="24"/>
          <w:lang w:val="en-US"/>
        </w:rPr>
        <w:t xml:space="preserve"> de la </w:t>
      </w:r>
      <w:r w:rsidRPr="3F523891" w:rsidR="3F523891">
        <w:rPr>
          <w:rFonts w:ascii="Times New Roman" w:hAnsi="Times New Roman" w:eastAsia="Times New Roman" w:cs="Times New Roman"/>
          <w:sz w:val="24"/>
          <w:szCs w:val="24"/>
          <w:lang w:val="en-US"/>
        </w:rPr>
        <w:t>privación</w:t>
      </w:r>
      <w:r w:rsidRPr="3F523891" w:rsidR="3F523891">
        <w:rPr>
          <w:rFonts w:ascii="Times New Roman" w:hAnsi="Times New Roman" w:eastAsia="Times New Roman" w:cs="Times New Roman"/>
          <w:sz w:val="24"/>
          <w:szCs w:val="24"/>
          <w:lang w:val="en-US"/>
        </w:rPr>
        <w:t xml:space="preserve"> del bien no es </w:t>
      </w:r>
      <w:r w:rsidRPr="3F523891" w:rsidR="3F523891">
        <w:rPr>
          <w:rFonts w:ascii="Times New Roman" w:hAnsi="Times New Roman" w:eastAsia="Times New Roman" w:cs="Times New Roman"/>
          <w:sz w:val="24"/>
          <w:szCs w:val="24"/>
          <w:lang w:val="en-US"/>
        </w:rPr>
        <w:t>una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invención</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apologética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cristiana</w:t>
      </w:r>
      <w:r w:rsidRPr="3F523891" w:rsidR="3F523891">
        <w:rPr>
          <w:rFonts w:ascii="Times New Roman" w:hAnsi="Times New Roman" w:eastAsia="Times New Roman" w:cs="Times New Roman"/>
          <w:sz w:val="24"/>
          <w:szCs w:val="24"/>
          <w:lang w:val="en-US"/>
        </w:rPr>
        <w:t xml:space="preserve"> ad hoc, </w:t>
      </w:r>
      <w:r w:rsidRPr="3F523891" w:rsidR="3F523891">
        <w:rPr>
          <w:rFonts w:ascii="Times New Roman" w:hAnsi="Times New Roman" w:eastAsia="Times New Roman" w:cs="Times New Roman"/>
          <w:sz w:val="24"/>
          <w:szCs w:val="24"/>
          <w:lang w:val="en-US"/>
        </w:rPr>
        <w:t>diseñada</w:t>
      </w:r>
      <w:r w:rsidRPr="3F523891" w:rsidR="3F523891">
        <w:rPr>
          <w:rFonts w:ascii="Times New Roman" w:hAnsi="Times New Roman" w:eastAsia="Times New Roman" w:cs="Times New Roman"/>
          <w:sz w:val="24"/>
          <w:szCs w:val="24"/>
          <w:lang w:val="en-US"/>
        </w:rPr>
        <w:t xml:space="preserve"> para resolver el </w:t>
      </w:r>
      <w:r w:rsidRPr="3F523891" w:rsidR="3F523891">
        <w:rPr>
          <w:rFonts w:ascii="Times New Roman" w:hAnsi="Times New Roman" w:eastAsia="Times New Roman" w:cs="Times New Roman"/>
          <w:sz w:val="24"/>
          <w:szCs w:val="24"/>
          <w:lang w:val="en-US"/>
        </w:rPr>
        <w:t>problema</w:t>
      </w:r>
      <w:r w:rsidRPr="3F523891" w:rsidR="3F523891">
        <w:rPr>
          <w:rFonts w:ascii="Times New Roman" w:hAnsi="Times New Roman" w:eastAsia="Times New Roman" w:cs="Times New Roman"/>
          <w:sz w:val="24"/>
          <w:szCs w:val="24"/>
          <w:lang w:val="en-US"/>
        </w:rPr>
        <w:t xml:space="preserve"> del mal </w:t>
      </w:r>
      <w:r w:rsidRPr="3F523891" w:rsidR="3F523891">
        <w:rPr>
          <w:rFonts w:ascii="Times New Roman" w:hAnsi="Times New Roman" w:eastAsia="Times New Roman" w:cs="Times New Roman"/>
          <w:sz w:val="24"/>
          <w:szCs w:val="24"/>
          <w:lang w:val="en-US"/>
        </w:rPr>
        <w:t>dentro</w:t>
      </w:r>
      <w:r w:rsidRPr="3F523891" w:rsidR="3F523891">
        <w:rPr>
          <w:rFonts w:ascii="Times New Roman" w:hAnsi="Times New Roman" w:eastAsia="Times New Roman" w:cs="Times New Roman"/>
          <w:sz w:val="24"/>
          <w:szCs w:val="24"/>
          <w:lang w:val="en-US"/>
        </w:rPr>
        <w:t xml:space="preserve"> de un </w:t>
      </w:r>
      <w:r w:rsidRPr="3F523891" w:rsidR="3F523891">
        <w:rPr>
          <w:rFonts w:ascii="Times New Roman" w:hAnsi="Times New Roman" w:eastAsia="Times New Roman" w:cs="Times New Roman"/>
          <w:sz w:val="24"/>
          <w:szCs w:val="24"/>
          <w:lang w:val="en-US"/>
        </w:rPr>
        <w:t>marco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teológico</w:t>
      </w:r>
      <w:r w:rsidRPr="3F523891" w:rsidR="3F523891">
        <w:rPr>
          <w:rFonts w:ascii="Times New Roman" w:hAnsi="Times New Roman" w:eastAsia="Times New Roman" w:cs="Times New Roman"/>
          <w:sz w:val="24"/>
          <w:szCs w:val="24"/>
          <w:lang w:val="en-US"/>
        </w:rPr>
        <w:t xml:space="preserve"> particular, </w:t>
      </w:r>
      <w:r w:rsidRPr="3F523891" w:rsidR="3F523891">
        <w:rPr>
          <w:rFonts w:ascii="Times New Roman" w:hAnsi="Times New Roman" w:eastAsia="Times New Roman" w:cs="Times New Roman"/>
          <w:sz w:val="24"/>
          <w:szCs w:val="24"/>
          <w:lang w:val="en-US"/>
        </w:rPr>
        <w:t>sino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una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intuición</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metafísica</w:t>
      </w:r>
      <w:r w:rsidRPr="3F523891" w:rsidR="3F523891">
        <w:rPr>
          <w:rFonts w:ascii="Times New Roman" w:hAnsi="Times New Roman" w:eastAsia="Times New Roman" w:cs="Times New Roman"/>
          <w:sz w:val="24"/>
          <w:szCs w:val="24"/>
          <w:lang w:val="en-US"/>
        </w:rPr>
        <w:t xml:space="preserve"> de </w:t>
      </w:r>
      <w:r w:rsidRPr="3F523891" w:rsidR="3F523891">
        <w:rPr>
          <w:rFonts w:ascii="Times New Roman" w:hAnsi="Times New Roman" w:eastAsia="Times New Roman" w:cs="Times New Roman"/>
          <w:sz w:val="24"/>
          <w:szCs w:val="24"/>
          <w:lang w:val="en-US"/>
        </w:rPr>
        <w:t>alcance</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más</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amplio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reconocible</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incluso</w:t>
      </w:r>
      <w:r w:rsidRPr="3F523891" w:rsidR="3F523891">
        <w:rPr>
          <w:rFonts w:ascii="Times New Roman" w:hAnsi="Times New Roman" w:eastAsia="Times New Roman" w:cs="Times New Roman"/>
          <w:sz w:val="24"/>
          <w:szCs w:val="24"/>
          <w:lang w:val="en-US"/>
        </w:rPr>
        <w:t xml:space="preserve"> fuera del </w:t>
      </w:r>
      <w:r w:rsidRPr="3F523891" w:rsidR="3F523891">
        <w:rPr>
          <w:rFonts w:ascii="Times New Roman" w:hAnsi="Times New Roman" w:eastAsia="Times New Roman" w:cs="Times New Roman"/>
          <w:sz w:val="24"/>
          <w:szCs w:val="24"/>
          <w:lang w:val="en-US"/>
        </w:rPr>
        <w:t>marco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estrictamente</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cristiano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que</w:t>
      </w:r>
      <w:r w:rsidRPr="3F523891" w:rsidR="3F523891">
        <w:rPr>
          <w:rFonts w:ascii="Times New Roman" w:hAnsi="Times New Roman" w:eastAsia="Times New Roman" w:cs="Times New Roman"/>
          <w:sz w:val="24"/>
          <w:szCs w:val="24"/>
          <w:lang w:val="en-US"/>
        </w:rPr>
        <w:t xml:space="preserve"> la </w:t>
      </w:r>
      <w:r w:rsidRPr="3F523891" w:rsidR="3F523891">
        <w:rPr>
          <w:rFonts w:ascii="Times New Roman" w:hAnsi="Times New Roman" w:eastAsia="Times New Roman" w:cs="Times New Roman"/>
          <w:sz w:val="24"/>
          <w:szCs w:val="24"/>
          <w:lang w:val="en-US"/>
        </w:rPr>
        <w:t>tradición</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patrística</w:t>
      </w:r>
      <w:r w:rsidRPr="3F523891" w:rsidR="3F523891">
        <w:rPr>
          <w:rFonts w:ascii="Times New Roman" w:hAnsi="Times New Roman" w:eastAsia="Times New Roman" w:cs="Times New Roman"/>
          <w:sz w:val="24"/>
          <w:szCs w:val="24"/>
          <w:lang w:val="en-US"/>
        </w:rPr>
        <w:t xml:space="preserve"> y </w:t>
      </w:r>
      <w:r w:rsidRPr="3F523891" w:rsidR="3F523891">
        <w:rPr>
          <w:rFonts w:ascii="Times New Roman" w:hAnsi="Times New Roman" w:eastAsia="Times New Roman" w:cs="Times New Roman"/>
          <w:sz w:val="24"/>
          <w:szCs w:val="24"/>
          <w:lang w:val="en-US"/>
        </w:rPr>
        <w:t>escolástica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supo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integrar</w:t>
      </w:r>
      <w:r w:rsidRPr="3F523891" w:rsidR="3F523891">
        <w:rPr>
          <w:rFonts w:ascii="Times New Roman" w:hAnsi="Times New Roman" w:eastAsia="Times New Roman" w:cs="Times New Roman"/>
          <w:sz w:val="24"/>
          <w:szCs w:val="24"/>
          <w:lang w:val="en-US"/>
        </w:rPr>
        <w:t xml:space="preserve"> y </w:t>
      </w:r>
      <w:r w:rsidRPr="3F523891" w:rsidR="3F523891">
        <w:rPr>
          <w:rFonts w:ascii="Times New Roman" w:hAnsi="Times New Roman" w:eastAsia="Times New Roman" w:cs="Times New Roman"/>
          <w:sz w:val="24"/>
          <w:szCs w:val="24"/>
          <w:lang w:val="en-US"/>
        </w:rPr>
        <w:t>perfeccionar</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dentro</w:t>
      </w:r>
      <w:r w:rsidRPr="3F523891" w:rsidR="3F523891">
        <w:rPr>
          <w:rFonts w:ascii="Times New Roman" w:hAnsi="Times New Roman" w:eastAsia="Times New Roman" w:cs="Times New Roman"/>
          <w:sz w:val="24"/>
          <w:szCs w:val="24"/>
          <w:lang w:val="en-US"/>
        </w:rPr>
        <w:t xml:space="preserve"> de </w:t>
      </w:r>
      <w:r w:rsidRPr="3F523891" w:rsidR="3F523891">
        <w:rPr>
          <w:rFonts w:ascii="Times New Roman" w:hAnsi="Times New Roman" w:eastAsia="Times New Roman" w:cs="Times New Roman"/>
          <w:sz w:val="24"/>
          <w:szCs w:val="24"/>
          <w:lang w:val="en-US"/>
        </w:rPr>
        <w:t>una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metafísica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plenamente</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personalista</w:t>
      </w:r>
      <w:r w:rsidRPr="3F523891" w:rsidR="3F523891">
        <w:rPr>
          <w:rFonts w:ascii="Times New Roman" w:hAnsi="Times New Roman" w:eastAsia="Times New Roman" w:cs="Times New Roman"/>
          <w:sz w:val="24"/>
          <w:szCs w:val="24"/>
          <w:lang w:val="en-US"/>
        </w:rPr>
        <w:t xml:space="preserve"> y </w:t>
      </w:r>
      <w:r w:rsidRPr="3F523891" w:rsidR="3F523891">
        <w:rPr>
          <w:rFonts w:ascii="Times New Roman" w:hAnsi="Times New Roman" w:eastAsia="Times New Roman" w:cs="Times New Roman"/>
          <w:sz w:val="24"/>
          <w:szCs w:val="24"/>
          <w:lang w:val="en-US"/>
        </w:rPr>
        <w:t>creacionista</w:t>
      </w:r>
      <w:r w:rsidRPr="3F523891" w:rsidR="3F523891">
        <w:rPr>
          <w:rFonts w:ascii="Times New Roman" w:hAnsi="Times New Roman" w:eastAsia="Times New Roman" w:cs="Times New Roman"/>
          <w:sz w:val="24"/>
          <w:szCs w:val="24"/>
          <w:lang w:val="en-US"/>
        </w:rPr>
        <w:t xml:space="preserve">. La </w:t>
      </w:r>
      <w:r w:rsidRPr="3F523891" w:rsidR="3F523891">
        <w:rPr>
          <w:rFonts w:ascii="Times New Roman" w:hAnsi="Times New Roman" w:eastAsia="Times New Roman" w:cs="Times New Roman"/>
          <w:sz w:val="24"/>
          <w:szCs w:val="24"/>
          <w:lang w:val="en-US"/>
        </w:rPr>
        <w:t>diferencia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decisiva</w:t>
      </w:r>
      <w:r w:rsidRPr="3F523891" w:rsidR="3F523891">
        <w:rPr>
          <w:rFonts w:ascii="Times New Roman" w:hAnsi="Times New Roman" w:eastAsia="Times New Roman" w:cs="Times New Roman"/>
          <w:sz w:val="24"/>
          <w:szCs w:val="24"/>
          <w:lang w:val="en-US"/>
        </w:rPr>
        <w:t xml:space="preserve"> entre </w:t>
      </w:r>
      <w:r w:rsidRPr="3F523891" w:rsidR="3F523891">
        <w:rPr>
          <w:rFonts w:ascii="Times New Roman" w:hAnsi="Times New Roman" w:eastAsia="Times New Roman" w:cs="Times New Roman"/>
          <w:sz w:val="24"/>
          <w:szCs w:val="24"/>
          <w:lang w:val="en-US"/>
        </w:rPr>
        <w:t>Plotino</w:t>
      </w:r>
      <w:r w:rsidRPr="3F523891" w:rsidR="3F523891">
        <w:rPr>
          <w:rFonts w:ascii="Times New Roman" w:hAnsi="Times New Roman" w:eastAsia="Times New Roman" w:cs="Times New Roman"/>
          <w:sz w:val="24"/>
          <w:szCs w:val="24"/>
          <w:lang w:val="en-US"/>
        </w:rPr>
        <w:t xml:space="preserve"> y Agustín, </w:t>
      </w:r>
      <w:r w:rsidRPr="3F523891" w:rsidR="3F523891">
        <w:rPr>
          <w:rFonts w:ascii="Times New Roman" w:hAnsi="Times New Roman" w:eastAsia="Times New Roman" w:cs="Times New Roman"/>
          <w:sz w:val="24"/>
          <w:szCs w:val="24"/>
          <w:lang w:val="en-US"/>
        </w:rPr>
        <w:t>que</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conviene</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señalar</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aquí</w:t>
      </w:r>
      <w:r w:rsidRPr="3F523891" w:rsidR="3F523891">
        <w:rPr>
          <w:rFonts w:ascii="Times New Roman" w:hAnsi="Times New Roman" w:eastAsia="Times New Roman" w:cs="Times New Roman"/>
          <w:sz w:val="24"/>
          <w:szCs w:val="24"/>
          <w:lang w:val="en-US"/>
        </w:rPr>
        <w:t xml:space="preserve">, es </w:t>
      </w:r>
      <w:r w:rsidRPr="3F523891" w:rsidR="3F523891">
        <w:rPr>
          <w:rFonts w:ascii="Times New Roman" w:hAnsi="Times New Roman" w:eastAsia="Times New Roman" w:cs="Times New Roman"/>
          <w:sz w:val="24"/>
          <w:szCs w:val="24"/>
          <w:lang w:val="en-US"/>
        </w:rPr>
        <w:t>que</w:t>
      </w:r>
      <w:r w:rsidRPr="3F523891" w:rsidR="3F523891">
        <w:rPr>
          <w:rFonts w:ascii="Times New Roman" w:hAnsi="Times New Roman" w:eastAsia="Times New Roman" w:cs="Times New Roman"/>
          <w:sz w:val="24"/>
          <w:szCs w:val="24"/>
          <w:lang w:val="en-US"/>
        </w:rPr>
        <w:t xml:space="preserve"> para el primero la </w:t>
      </w:r>
      <w:r w:rsidRPr="3F523891" w:rsidR="3F523891">
        <w:rPr>
          <w:rFonts w:ascii="Times New Roman" w:hAnsi="Times New Roman" w:eastAsia="Times New Roman" w:cs="Times New Roman"/>
          <w:sz w:val="24"/>
          <w:szCs w:val="24"/>
          <w:lang w:val="en-US"/>
        </w:rPr>
        <w:t>materia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misma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tiende</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identificarse</w:t>
      </w:r>
      <w:r w:rsidRPr="3F523891" w:rsidR="3F523891">
        <w:rPr>
          <w:rFonts w:ascii="Times New Roman" w:hAnsi="Times New Roman" w:eastAsia="Times New Roman" w:cs="Times New Roman"/>
          <w:sz w:val="24"/>
          <w:szCs w:val="24"/>
          <w:lang w:val="en-US"/>
        </w:rPr>
        <w:t xml:space="preserve"> con el principio del mal, </w:t>
      </w:r>
      <w:r w:rsidRPr="3F523891" w:rsidR="3F523891">
        <w:rPr>
          <w:rFonts w:ascii="Times New Roman" w:hAnsi="Times New Roman" w:eastAsia="Times New Roman" w:cs="Times New Roman"/>
          <w:sz w:val="24"/>
          <w:szCs w:val="24"/>
          <w:lang w:val="en-US"/>
        </w:rPr>
        <w:t>mientras</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que</w:t>
      </w:r>
      <w:r w:rsidRPr="3F523891" w:rsidR="3F523891">
        <w:rPr>
          <w:rFonts w:ascii="Times New Roman" w:hAnsi="Times New Roman" w:eastAsia="Times New Roman" w:cs="Times New Roman"/>
          <w:sz w:val="24"/>
          <w:szCs w:val="24"/>
          <w:lang w:val="en-US"/>
        </w:rPr>
        <w:t xml:space="preserve"> para el </w:t>
      </w:r>
      <w:r w:rsidRPr="3F523891" w:rsidR="3F523891">
        <w:rPr>
          <w:rFonts w:ascii="Times New Roman" w:hAnsi="Times New Roman" w:eastAsia="Times New Roman" w:cs="Times New Roman"/>
          <w:sz w:val="24"/>
          <w:szCs w:val="24"/>
          <w:lang w:val="en-US"/>
        </w:rPr>
        <w:t>segundo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precisamente</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por</w:t>
      </w:r>
      <w:r w:rsidRPr="3F523891" w:rsidR="3F523891">
        <w:rPr>
          <w:rFonts w:ascii="Times New Roman" w:hAnsi="Times New Roman" w:eastAsia="Times New Roman" w:cs="Times New Roman"/>
          <w:sz w:val="24"/>
          <w:szCs w:val="24"/>
          <w:lang w:val="en-US"/>
        </w:rPr>
        <w:t xml:space="preserve"> la </w:t>
      </w:r>
      <w:r w:rsidRPr="3F523891" w:rsidR="3F523891">
        <w:rPr>
          <w:rFonts w:ascii="Times New Roman" w:hAnsi="Times New Roman" w:eastAsia="Times New Roman" w:cs="Times New Roman"/>
          <w:sz w:val="24"/>
          <w:szCs w:val="24"/>
          <w:lang w:val="en-US"/>
        </w:rPr>
        <w:t>doctrina</w:t>
      </w:r>
      <w:r w:rsidRPr="3F523891" w:rsidR="3F523891">
        <w:rPr>
          <w:rFonts w:ascii="Times New Roman" w:hAnsi="Times New Roman" w:eastAsia="Times New Roman" w:cs="Times New Roman"/>
          <w:sz w:val="24"/>
          <w:szCs w:val="24"/>
          <w:lang w:val="en-US"/>
        </w:rPr>
        <w:t xml:space="preserve"> de la </w:t>
      </w:r>
      <w:r w:rsidRPr="3F523891" w:rsidR="3F523891">
        <w:rPr>
          <w:rFonts w:ascii="Times New Roman" w:hAnsi="Times New Roman" w:eastAsia="Times New Roman" w:cs="Times New Roman"/>
          <w:sz w:val="24"/>
          <w:szCs w:val="24"/>
          <w:lang w:val="en-US"/>
        </w:rPr>
        <w:t>creación</w:t>
      </w:r>
      <w:r w:rsidRPr="3F523891" w:rsidR="3F523891">
        <w:rPr>
          <w:rFonts w:ascii="Times New Roman" w:hAnsi="Times New Roman" w:eastAsia="Times New Roman" w:cs="Times New Roman"/>
          <w:sz w:val="24"/>
          <w:szCs w:val="24"/>
          <w:lang w:val="en-US"/>
        </w:rPr>
        <w:t xml:space="preserve"> ex nihilo, </w:t>
      </w:r>
      <w:r w:rsidRPr="3F523891" w:rsidR="3F523891">
        <w:rPr>
          <w:rFonts w:ascii="Times New Roman" w:hAnsi="Times New Roman" w:eastAsia="Times New Roman" w:cs="Times New Roman"/>
          <w:sz w:val="24"/>
          <w:szCs w:val="24"/>
          <w:lang w:val="en-US"/>
        </w:rPr>
        <w:t>toda</w:t>
      </w:r>
      <w:r w:rsidRPr="3F523891" w:rsidR="3F523891">
        <w:rPr>
          <w:rFonts w:ascii="Times New Roman" w:hAnsi="Times New Roman" w:eastAsia="Times New Roman" w:cs="Times New Roman"/>
          <w:sz w:val="24"/>
          <w:szCs w:val="24"/>
          <w:lang w:val="en-US"/>
        </w:rPr>
        <w:t xml:space="preserve"> la </w:t>
      </w:r>
      <w:r w:rsidRPr="3F523891" w:rsidR="3F523891">
        <w:rPr>
          <w:rFonts w:ascii="Times New Roman" w:hAnsi="Times New Roman" w:eastAsia="Times New Roman" w:cs="Times New Roman"/>
          <w:sz w:val="24"/>
          <w:szCs w:val="24"/>
          <w:lang w:val="en-US"/>
        </w:rPr>
        <w:t>materia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creada</w:t>
      </w:r>
      <w:r w:rsidRPr="3F523891" w:rsidR="3F523891">
        <w:rPr>
          <w:rFonts w:ascii="Times New Roman" w:hAnsi="Times New Roman" w:eastAsia="Times New Roman" w:cs="Times New Roman"/>
          <w:sz w:val="24"/>
          <w:szCs w:val="24"/>
          <w:lang w:val="en-US"/>
        </w:rPr>
        <w:t xml:space="preserve"> es </w:t>
      </w:r>
      <w:r w:rsidRPr="3F523891" w:rsidR="3F523891">
        <w:rPr>
          <w:rFonts w:ascii="Times New Roman" w:hAnsi="Times New Roman" w:eastAsia="Times New Roman" w:cs="Times New Roman"/>
          <w:sz w:val="24"/>
          <w:szCs w:val="24"/>
          <w:lang w:val="en-US"/>
        </w:rPr>
        <w:t>buena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en</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cuanto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creada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por</w:t>
      </w:r>
      <w:r w:rsidRPr="3F523891" w:rsidR="3F523891">
        <w:rPr>
          <w:rFonts w:ascii="Times New Roman" w:hAnsi="Times New Roman" w:eastAsia="Times New Roman" w:cs="Times New Roman"/>
          <w:sz w:val="24"/>
          <w:szCs w:val="24"/>
          <w:lang w:val="en-US"/>
        </w:rPr>
        <w:t xml:space="preserve"> Dios, y el mal surge </w:t>
      </w:r>
      <w:r w:rsidRPr="3F523891" w:rsidR="3F523891">
        <w:rPr>
          <w:rFonts w:ascii="Times New Roman" w:hAnsi="Times New Roman" w:eastAsia="Times New Roman" w:cs="Times New Roman"/>
          <w:sz w:val="24"/>
          <w:szCs w:val="24"/>
          <w:lang w:val="en-US"/>
        </w:rPr>
        <w:t>exclusivamente</w:t>
      </w:r>
      <w:r w:rsidRPr="3F523891" w:rsidR="3F523891">
        <w:rPr>
          <w:rFonts w:ascii="Times New Roman" w:hAnsi="Times New Roman" w:eastAsia="Times New Roman" w:cs="Times New Roman"/>
          <w:sz w:val="24"/>
          <w:szCs w:val="24"/>
          <w:lang w:val="en-US"/>
        </w:rPr>
        <w:t xml:space="preserve"> del mal </w:t>
      </w:r>
      <w:r w:rsidRPr="3F523891" w:rsidR="3F523891">
        <w:rPr>
          <w:rFonts w:ascii="Times New Roman" w:hAnsi="Times New Roman" w:eastAsia="Times New Roman" w:cs="Times New Roman"/>
          <w:sz w:val="24"/>
          <w:szCs w:val="24"/>
          <w:lang w:val="en-US"/>
        </w:rPr>
        <w:t>uso</w:t>
      </w:r>
      <w:r w:rsidRPr="3F523891" w:rsidR="3F523891">
        <w:rPr>
          <w:rFonts w:ascii="Times New Roman" w:hAnsi="Times New Roman" w:eastAsia="Times New Roman" w:cs="Times New Roman"/>
          <w:sz w:val="24"/>
          <w:szCs w:val="24"/>
          <w:lang w:val="en-US"/>
        </w:rPr>
        <w:t xml:space="preserve"> de la </w:t>
      </w:r>
      <w:r w:rsidRPr="3F523891" w:rsidR="3F523891">
        <w:rPr>
          <w:rFonts w:ascii="Times New Roman" w:hAnsi="Times New Roman" w:eastAsia="Times New Roman" w:cs="Times New Roman"/>
          <w:sz w:val="24"/>
          <w:szCs w:val="24"/>
          <w:lang w:val="en-US"/>
        </w:rPr>
        <w:t>libertad</w:t>
      </w:r>
      <w:r w:rsidRPr="3F523891" w:rsidR="3F523891">
        <w:rPr>
          <w:rFonts w:ascii="Times New Roman" w:hAnsi="Times New Roman" w:eastAsia="Times New Roman" w:cs="Times New Roman"/>
          <w:sz w:val="24"/>
          <w:szCs w:val="24"/>
          <w:lang w:val="en-US"/>
        </w:rPr>
        <w:t xml:space="preserve"> de las </w:t>
      </w:r>
      <w:r w:rsidRPr="3F523891" w:rsidR="3F523891">
        <w:rPr>
          <w:rFonts w:ascii="Times New Roman" w:hAnsi="Times New Roman" w:eastAsia="Times New Roman" w:cs="Times New Roman"/>
          <w:sz w:val="24"/>
          <w:szCs w:val="24"/>
          <w:lang w:val="en-US"/>
        </w:rPr>
        <w:t>criaturas</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racionales</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nunca</w:t>
      </w:r>
      <w:r w:rsidRPr="3F523891" w:rsidR="3F523891">
        <w:rPr>
          <w:rFonts w:ascii="Times New Roman" w:hAnsi="Times New Roman" w:eastAsia="Times New Roman" w:cs="Times New Roman"/>
          <w:sz w:val="24"/>
          <w:szCs w:val="24"/>
          <w:lang w:val="en-US"/>
        </w:rPr>
        <w:t xml:space="preserve"> de la </w:t>
      </w:r>
      <w:r w:rsidRPr="3F523891" w:rsidR="3F523891">
        <w:rPr>
          <w:rFonts w:ascii="Times New Roman" w:hAnsi="Times New Roman" w:eastAsia="Times New Roman" w:cs="Times New Roman"/>
          <w:sz w:val="24"/>
          <w:szCs w:val="24"/>
          <w:lang w:val="en-US"/>
        </w:rPr>
        <w:t>materia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como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tal</w:t>
      </w:r>
      <w:r w:rsidRPr="3F523891" w:rsidR="3F523891">
        <w:rPr>
          <w:rFonts w:ascii="Times New Roman" w:hAnsi="Times New Roman" w:eastAsia="Times New Roman" w:cs="Times New Roman"/>
          <w:sz w:val="24"/>
          <w:szCs w:val="24"/>
          <w:lang w:val="en-US"/>
        </w:rPr>
        <w:t xml:space="preserve">. Esta </w:t>
      </w:r>
      <w:r w:rsidRPr="3F523891" w:rsidR="3F523891">
        <w:rPr>
          <w:rFonts w:ascii="Times New Roman" w:hAnsi="Times New Roman" w:eastAsia="Times New Roman" w:cs="Times New Roman"/>
          <w:sz w:val="24"/>
          <w:szCs w:val="24"/>
          <w:lang w:val="en-US"/>
        </w:rPr>
        <w:t>precisión</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será</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relevante</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más</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adelante</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cuando</w:t>
      </w:r>
      <w:r w:rsidRPr="3F523891" w:rsidR="3F523891">
        <w:rPr>
          <w:rFonts w:ascii="Times New Roman" w:hAnsi="Times New Roman" w:eastAsia="Times New Roman" w:cs="Times New Roman"/>
          <w:sz w:val="24"/>
          <w:szCs w:val="24"/>
          <w:lang w:val="en-US"/>
        </w:rPr>
        <w:t xml:space="preserve"> se examine la causa material de la </w:t>
      </w:r>
      <w:r w:rsidRPr="3F523891" w:rsidR="3F523891">
        <w:rPr>
          <w:rFonts w:ascii="Times New Roman" w:hAnsi="Times New Roman" w:eastAsia="Times New Roman" w:cs="Times New Roman"/>
          <w:sz w:val="24"/>
          <w:szCs w:val="24"/>
          <w:lang w:val="en-US"/>
        </w:rPr>
        <w:t>nación</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en</w:t>
      </w:r>
      <w:r w:rsidRPr="3F523891" w:rsidR="3F523891">
        <w:rPr>
          <w:rFonts w:ascii="Times New Roman" w:hAnsi="Times New Roman" w:eastAsia="Times New Roman" w:cs="Times New Roman"/>
          <w:sz w:val="24"/>
          <w:szCs w:val="24"/>
          <w:lang w:val="en-US"/>
        </w:rPr>
        <w:t xml:space="preserve"> la </w:t>
      </w:r>
      <w:r w:rsidRPr="3F523891" w:rsidR="3F523891">
        <w:rPr>
          <w:rFonts w:ascii="Times New Roman" w:hAnsi="Times New Roman" w:eastAsia="Times New Roman" w:cs="Times New Roman"/>
          <w:sz w:val="24"/>
          <w:szCs w:val="24"/>
          <w:lang w:val="en-US"/>
        </w:rPr>
        <w:t>sección</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cuarta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pues</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permite</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descartar</w:t>
      </w:r>
      <w:r w:rsidRPr="3F523891" w:rsidR="3F523891">
        <w:rPr>
          <w:rFonts w:ascii="Times New Roman" w:hAnsi="Times New Roman" w:eastAsia="Times New Roman" w:cs="Times New Roman"/>
          <w:sz w:val="24"/>
          <w:szCs w:val="24"/>
          <w:lang w:val="en-US"/>
        </w:rPr>
        <w:t xml:space="preserve"> de </w:t>
      </w:r>
      <w:r w:rsidRPr="3F523891" w:rsidR="3F523891">
        <w:rPr>
          <w:rFonts w:ascii="Times New Roman" w:hAnsi="Times New Roman" w:eastAsia="Times New Roman" w:cs="Times New Roman"/>
          <w:sz w:val="24"/>
          <w:szCs w:val="24"/>
          <w:lang w:val="en-US"/>
        </w:rPr>
        <w:t>antemano</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cualquier</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lectura</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que</w:t>
      </w:r>
      <w:r w:rsidRPr="3F523891" w:rsidR="3F523891">
        <w:rPr>
          <w:rFonts w:ascii="Times New Roman" w:hAnsi="Times New Roman" w:eastAsia="Times New Roman" w:cs="Times New Roman"/>
          <w:sz w:val="24"/>
          <w:szCs w:val="24"/>
          <w:lang w:val="en-US"/>
        </w:rPr>
        <w:t xml:space="preserve"> </w:t>
      </w:r>
      <w:r w:rsidRPr="3F523891" w:rsidR="3F523891">
        <w:rPr>
          <w:rFonts w:ascii="Times New Roman" w:hAnsi="Times New Roman" w:eastAsia="Times New Roman" w:cs="Times New Roman"/>
          <w:sz w:val="24"/>
          <w:szCs w:val="24"/>
          <w:lang w:val="en-US"/>
        </w:rPr>
        <w:t>identificara</w:t>
      </w:r>
      <w:r w:rsidRPr="3F523891" w:rsidR="3F523891">
        <w:rPr>
          <w:rFonts w:ascii="Times New Roman" w:hAnsi="Times New Roman" w:eastAsia="Times New Roman" w:cs="Times New Roman"/>
          <w:sz w:val="24"/>
          <w:szCs w:val="24"/>
          <w:lang w:val="en-US"/>
        </w:rPr>
        <w:t xml:space="preserve"> la causa materia</w:t>
      </w:r>
      <w:r w:rsidRPr="3F523891" w:rsidR="36B44944">
        <w:rPr>
          <w:rFonts w:ascii="Times New Roman" w:hAnsi="Times New Roman" w:eastAsia="Times New Roman" w:cs="Times New Roman"/>
          <w:sz w:val="24"/>
          <w:szCs w:val="24"/>
          <w:lang w:val="en-US"/>
        </w:rPr>
        <w:t>l.</w:t>
      </w:r>
    </w:p>
    <w:p xmlns:wp14="http://schemas.microsoft.com/office/word/2010/wordml" w14:paraId="500E7439" wp14:textId="77777777">
      <w:pPr>
        <w:pStyle w:val="Heading2"/>
      </w:pPr>
      <w:r w:rsidRPr="3F523891" w:rsidR="3F523891">
        <w:rPr>
          <w:lang w:val="en-US"/>
        </w:rPr>
        <w:t>3.2 El maniqueísmo y la ruptura agustiniana</w:t>
      </w:r>
    </w:p>
    <w:p xmlns:wp14="http://schemas.microsoft.com/office/word/2010/wordml" w14:paraId="79342415"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 respuesta que proponemos recurre a una de las doctrinas más antiguas y mejor fundamentadas de la filosofía clásica cristiana: la doctrina de la privatio boni, la privación del bien. Agustín de Hipona llega a esta doctrina por una vía existencial, en el curso de su propia ruptura intelectual con el maniqueísmo, sistema religioso que sostenía —y este es el punto exacto que Agustín termina por rechazar— que el mal posee una sustancia propia, positiva, en guerra perpetua y simétrica contra el bien, como si existieran dos principios igualmente reales y opuestos compitiendo por el dominio del mundo.</w:t>
      </w:r>
    </w:p>
    <w:p xmlns:wp14="http://schemas.microsoft.com/office/word/2010/wordml" w14:paraId="2EA0E14F"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sus Confesiones, Agustín narra cómo llega a comprender, tras años de extravío intelectual dentro del maniqueísmo, que el mal no tiene naturaleza propia ni sustancia positiva alguna: es, más bien, la corrupción, la deficiencia o la ausencia de un bien que debería estar presente en algo que, en cuanto existe, es bueno por el simple hecho de existir. Este descubrimiento no fue para Agustín un mero ajuste técnico de doctrina, sino una liberación existencial: mientras sostuvo la tesis maniquea de las dos sustancias en guerra, se sintió, según relata, dividido internamente entre dos principios igualmente reales dentro de sí mismo, incapaz de explicar coherentemente el origen de su propia inclinación al mal sin atribuir a Dios, directa o indirectamente, la responsabilidad de haberla creado. La doctrina de la privación le permite, en cambio, sostener que Dios crea exclusivamente el bien, y que el mal moral surge únicamente de la libre elección de la voluntad creada que se aparta del bien que debería buscar.</w:t>
      </w:r>
    </w:p>
    <w:p xmlns:wp14="http://schemas.microsoft.com/office/word/2010/wordml" w14:paraId="4D6FE2AE" wp14:textId="77777777">
      <w:pPr>
        <w:pStyle w:val="Heading2"/>
      </w:pPr>
      <w:r w:rsidRPr="3F523891" w:rsidR="3F523891">
        <w:rPr>
          <w:lang w:val="en-US"/>
        </w:rPr>
        <w:t>3.3 La sistematización tomista</w:t>
      </w:r>
    </w:p>
    <w:p xmlns:wp14="http://schemas.microsoft.com/office/word/2010/wordml" w14:paraId="0F27C8BA"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Tomás de Aquino sistematiza esta intuición agustiniana con el rigor escolástico que le es propio. En la Summa Theologiae se pregunta explícitamente si Dios puede ser causa del mal, y responde que no, precisamente porque el mal no es una cosa creada ni una sustancia con entidad propia, sino la privación o ausencia de un bien que un ente determinado debería poseer en virtud de su propia naturaleza. Todo ente, en cuanto tiene ser, es bueno; el mal aparece únicamente como corrupción o defecto accidental de ese ser, nunca como su esencia constitutiva.</w:t>
      </w:r>
    </w:p>
    <w:p xmlns:wp14="http://schemas.microsoft.com/office/word/2010/wordml" w14:paraId="6F19F432"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Un ojo ciego es un mal precisamente porque la ceguera es ausencia de la visión que el ojo, por su propia naturaleza, debería tener; pero esto no convierte al ojo en una sustancia mala en sí misma, sino en un bien —el ojo como tal— privado de su perfección propia. Tomás añade una precisión que resulta crucial para nuestro argumento: la privación no es una mera negación, como la ausencia de vista en una piedra, que no tiene por naturaleza la capacidad de ver y por tanto no sufre ningún mal por carecer de ella; la privación es, específicamente, la ausencia de un bien que el sujeto, por su naturaleza propia, debería poseer. Esta distinción entre negación y privación será decisiva al aplicar la doctrina al caso de la nación.</w:t>
      </w:r>
    </w:p>
    <w:p xmlns:wp14="http://schemas.microsoft.com/office/word/2010/wordml" w14:paraId="36EEAF27" wp14:textId="77777777">
      <w:pPr>
        <w:pStyle w:val="Heading2"/>
      </w:pPr>
      <w:r w:rsidRPr="3F523891" w:rsidR="3F523891">
        <w:rPr>
          <w:lang w:val="en-US"/>
        </w:rPr>
        <w:t>3.4 Aplicación de la doctrina a la nación</w:t>
      </w:r>
    </w:p>
    <w:p xmlns:wp14="http://schemas.microsoft.com/office/word/2010/wordml" w14:paraId="5F54BA57"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Aplicada esta doctrina al problema que nos ocupa, la respuesta a la objeción se vuelve conceptualmente clara y, a la vez, filosóficamente exigente. Una nación, en cuanto comunidad de seres humanos reunidos por vínculos de sangre, cultura e historia, posee, por el simple hecho de existir como tal comunidad, una bondad sustancial constitutiva; no es mala en su ser. Lo que puede ocurrir, y de hecho ocurre con frecuencia a lo largo de la historia, es que esa nación se vea desfigurada por accidentes históricos o ideológicos particulares —una clase política corrupta, una ideología importada y disolvente, una pérdida progresiva de memoria histórica— que privan a esa nación de bienes que, por su propia naturaleza, debería poseer: la cohesión social, la justicia, el orden, la trascendencia. Esta desfiguración, sin embargo, nunca alcanza ni puede alcanzar la sustancia misma de la nación, que permanece, en su ser más profundo, como un bien.</w:t>
      </w:r>
    </w:p>
    <w:p xmlns:wp14="http://schemas.microsoft.com/office/word/2010/wordml" w14:paraId="15A5D218"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De aquí se sigue una consecuencia normativa precisa, que cierra el argumento de esta subsección: si, como sostenemos siguiendo a Agustín y a Tomás, una nación no puede ser mala en su ser —pues el mal carece de sustancia propia—, entonces el caso de la «nación ontológicamente malvada» es, en rigor filosófico estricto, un caso vacío, una hipótesis sin instanciación posible. Lo que en el debate ordinario se describe, de modo impreciso, como una nación «malvada», es en realidad siempre una nación desfigurada por accidentes corregibles. Y si esto es así incluso en los casos más extremos, con mucha mayor razón se aplica al caso de Colombia, donde la corrupción presente, siendo real y grave, no alcanza ni de lejos el carácter de una desfiguración total e irreversible del ethos nacional. Nuestro deber, por tanto, no es la apostasía de la patria, sino la extirpación militante de los elementos corrompidos que la desfiguran, análisis crítico que debe hacerse, ciertamente, con firmeza, pero siempre desde dentro y a favor de la nación, nunca contra su sustancia.</w:t>
      </w:r>
    </w:p>
    <w:p xmlns:wp14="http://schemas.microsoft.com/office/word/2010/wordml" w14:paraId="5D1AAAFD" wp14:textId="77777777">
      <w:pPr>
        <w:pStyle w:val="Heading2"/>
      </w:pPr>
      <w:r w:rsidRPr="3F523891" w:rsidR="3F523891">
        <w:rPr>
          <w:lang w:val="en-US"/>
        </w:rPr>
        <w:t>3.5 Las tres corrupciones del caso colombiano</w:t>
      </w:r>
    </w:p>
    <w:p xmlns:wp14="http://schemas.microsoft.com/office/word/2010/wordml" w14:paraId="19965D6A"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para no dejar el argumento en un plano puramente abstracto, identificar con precisión cuáles son, en el caso colombiano específico, esos accidentes históricos e ideológicos que han desfigurado el bien sustancial de la nación sin alcanzar jamás a corromperla en su ser. Identificamos tres corrientes, distintas en su origen histórico pero convergentes en su efecto desfigurador, que examinaremos sucesivamente.</w:t>
      </w:r>
    </w:p>
    <w:p xmlns:wp14="http://schemas.microsoft.com/office/word/2010/wordml" w14:paraId="1C6C7F08" wp14:textId="77777777">
      <w:pPr>
        <w:pStyle w:val="Heading2"/>
      </w:pPr>
      <w:r w:rsidRPr="3F523891" w:rsidR="3F523891">
        <w:rPr>
          <w:lang w:val="en-US"/>
        </w:rPr>
        <w:t>3.5.1 La ética revolucionaria liberal fundadora</w:t>
      </w:r>
    </w:p>
    <w:p xmlns:wp14="http://schemas.microsoft.com/office/word/2010/wordml" w14:paraId="5D1C3935"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 primera corrupción identificada es la ética revolucionaria liberal que acompañó la fundación misma de Colombia como país independiente, heredera del racionalismo contractualista que disolvió de raíz el vínculo orgánico con la monarquía católica hispánica y sembró, desde el propio acto fundacional, la fractura entre la nación real e histórica y el aparato puramente jurídico del nuevo Estado. Esta corrupción es, en cierto sentido, la más profunda de las tres, pues no se trata de una desviación posterior que se introdujo en una nación ya constituida sobre bases sanas, sino de un vicio presente desde el momento mismo del parto republicano: las élites criollas que impulsaron la independencia adoptaron, en su inmensa mayoría, el marco ideológico de la Ilustración francesa y del liberalismo angloamericano, sin advertir —o sin querer advertir— que ese marco era estructuralmente incompatible con el sustrato católico-hispánico sobre el cual pretendían edificar la nueva nación.</w:t>
      </w:r>
    </w:p>
    <w:p xmlns:wp14="http://schemas.microsoft.com/office/word/2010/wordml" w14:paraId="4D33AD53"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resultado de esta incompatibilidad estructural es lo que Donoso Cortés, desde su análisis del liberalismo hispanoamericano del siglo XIX, diagnosticó con notable precisión: una sucesión casi ininterrumpida de guerras civiles, golpes de Estado y constituciones efímeras, producto no de la mera mala fortuna histórica, sino de la imposibilidad estructural de que un marco contractualista abstracto generara la lealtad sustancial que solo un orden orgánico y providencial puede ofrecer. Esta corrupción, sin embargo, no toca la sustancia de la nación colombiana, que preexiste a la república liberal en la forma de la sociedad colonial hispano-católica; toca únicamente la forma jurídica que esa nación adoptó en 1810 y en 1819, forma que puede y debe ser corregida sin que ello implique negar la continuidad sustancial del pueblo colombiano a través de los siglos.</w:t>
      </w:r>
    </w:p>
    <w:p xmlns:wp14="http://schemas.microsoft.com/office/word/2010/wordml" w14:paraId="543ED8E6" wp14:textId="77777777">
      <w:pPr>
        <w:pStyle w:val="Heading2"/>
      </w:pPr>
      <w:r w:rsidRPr="3F523891" w:rsidR="3F523891">
        <w:rPr>
          <w:lang w:val="en-US"/>
        </w:rPr>
        <w:t>3.5.2 La corriente revolucionaria marxista</w:t>
      </w:r>
    </w:p>
    <w:p xmlns:wp14="http://schemas.microsoft.com/office/word/2010/wordml" w14:paraId="782B91D8"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 segunda corrupción identificada es la corriente revolucionaria marxista, que durante el siglo XX y hasta el presente ha pretendido sustituir el vínculo nacional orgánico —familiar, histórico, religioso— por la categoría abstracta de la lucha de clases, disolviendo así, una vez más, la sustancia de la nación en favor de una pertenencia internacionalista que le es estructuralmente ajena. A diferencia de la primera corrupción, que opera principalmente en el plano de la forma jurídica del Estado, esta segunda corrupción opera directamente sobre la causa formal cultural de la nación, pues pretende reemplazar la identidad histórica y religiosa del pueblo colombiano por una identidad de clase que, por definición, no reconoce fronteras nacionales ni continuidad histórica particular alguna.</w:t>
      </w:r>
    </w:p>
    <w:p xmlns:wp14="http://schemas.microsoft.com/office/word/2010/wordml" w14:paraId="313AF606"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marxismo colombiano, en sus múltiples variantes —desde el marxismo-leninismo de mediados del siglo XX hasta las formas más recientes de marxismo cultural infiltrado en el sistema educativo y en ciertos sectores eclesiales bajo la forma de la llamada teología de la liberación—, comparte con el liberalismo fundacional un mismo vicio estructural de fondo, a pesar de presentarse retóricamente como su opuesto: ambos son, en términos aristotélico-tomistas, intentos de fundar la nación sobre una causa eficiente puramente humana y revolucionaria —el contrato social en un caso, la lucha de clases en el otro— que prescinde deliberadamente de la causa final trascendente que, según hemos argumentado, es la única capaz de dar sentido último a la comunidad política. Esta corrupción, como la anterior, es real y grave, y ha cobrado en Colombia un costo humano enorme a través de décadas de conflicto armado interno; pero, conforme a la doctrina de la privatio boni, tampoco alcanza a corromper la sustancia de la nación, que sobrevive precisamente en aquellos sectores del pueblo colombiano —mayoritarios, según toda evidencia disponible— que han resistido la disolución de su identidad católica y tradicional frente al embate ideológico marxista.</w:t>
      </w:r>
    </w:p>
    <w:p xmlns:wp14="http://schemas.microsoft.com/office/word/2010/wordml" w14:paraId="27B28BDB" wp14:textId="77777777">
      <w:pPr>
        <w:pStyle w:val="Heading2"/>
      </w:pPr>
      <w:r w:rsidRPr="3F523891" w:rsidR="3F523891">
        <w:rPr>
          <w:lang w:val="en-US"/>
        </w:rPr>
        <w:t>3.5.3 Las tendencias protestantes recientes</w:t>
      </w:r>
    </w:p>
    <w:p xmlns:wp14="http://schemas.microsoft.com/office/word/2010/wordml" w14:paraId="33479051"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 tercera corrupción identificada, de naturaleza distinta a las dos anteriores pero convergente en su efecto desfigurador, son las tendencias protestantes más recientes, que, al introducir en el tejido religioso colombiano un individualismo soteriológico y una desconfianza hacia la mediación institucional de la Iglesia, erosionan precisamente aquella capacidad de representación católica que, según Schmitt, es la única que puede dar forma visible y duradera a la identidad nacional. El crecimiento acelerado de las denominaciones evangélicas y pentecostales en Colombia durante las últimas décadas no debe analizarse únicamente, como suele hacerse en ciertos círculos sociológicos, en términos de oferta y demanda religiosa o de eficacia pastoral comparada, sino en sus consecuencias estructurales sobre la forma misma de la identidad nacional.</w:t>
      </w:r>
    </w:p>
    <w:p xmlns:wp14="http://schemas.microsoft.com/office/word/2010/wordml" w14:paraId="65AFBBB8"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 eclesiología protestante, al rechazar la mediación sacramental e institucional que caracteriza a la forma política católica analizada por Schmitt, fragmenta el cuerpo religioso de la nación en una multiplicidad de congregaciones sin autoridad doctrinal común, sustituyendo la representación unificada que la Iglesia católica ha provisto históricamente por una pluralidad de liderazgos carismáticos, frecuentemente alineados, además, con un individualismo de origen angloamericano que resulta culturalmente extraño a la tradición hispano-católica colombiana. Esta corrupción es, de las tres examinadas, la más reciente en su aceleración, aunque sus raíces históricas se remontan a la propia matriz protestante de ciertas corrientes del liberalismo decimonónico ya analizadas en la primera corrupción, lo cual sugiere que las tres corrupciones identificadas no son, en realidad, fenómenos aislados, sino manifestaciones sucesivas de un mismo impulso disolvente que opera, con distintas máscaras ideológicas, desde el siglo XIX hasta el presente.</w:t>
      </w:r>
    </w:p>
    <w:p xmlns:wp14="http://schemas.microsoft.com/office/word/2010/wordml" w14:paraId="12BFEE76"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Estas tres corrientes, distintas en su origen histórico pero convergentes en su efecto, son los accidentes concretos que, sin tocar la sustancia de la nación colombiana, la mantienen hoy desfigurada y reclaman, por ello mismo, no el desarraigo, sino la restauración militante de su ethos católico y tradicional.</w:t>
      </w:r>
    </w:p>
    <w:p xmlns:wp14="http://schemas.microsoft.com/office/word/2010/wordml" w14:paraId="632B39E3" wp14:textId="77777777">
      <w:pPr>
        <w:pStyle w:val="Heading1"/>
      </w:pPr>
      <w:r w:rsidRPr="3F523891" w:rsidR="3F523891">
        <w:rPr>
          <w:lang w:val="en-US"/>
        </w:rPr>
        <w:t>4. El límite del etnonacionalismo puro y la doctrina de las cuatro causas</w:t>
      </w:r>
    </w:p>
    <w:p xmlns:wp14="http://schemas.microsoft.com/office/word/2010/wordml" w14:paraId="097CC764"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Resuelta la objeción de la nación ontológicamente malvada, queda pendiente un último problema, no menos importante: el del lugar exacto que corresponde a la raza dentro de la identidad nacional. El etnonacionalismo, en su versión más consecuente, sostiene que lo único que realmente une a una nación es el vínculo biológico, y que toda referencia a la cultura, la religión o la historia es, en el mejor de los casos, secundaria, y en el peor, una máscara retórica que oculta el dato racial subyacente, el único verdaderamente determinante.</w:t>
      </w:r>
    </w:p>
    <w:p xmlns:wp14="http://schemas.microsoft.com/office/word/2010/wordml" w14:paraId="080E58CF" wp14:textId="195FB1D3">
      <w:pPr>
        <w:pStyle w:val="Heading2"/>
      </w:pPr>
      <w:r w:rsidRPr="3F523891" w:rsidR="3F523891">
        <w:rPr>
          <w:lang w:val="en-US"/>
        </w:rPr>
        <w:t xml:space="preserve">4.1 El </w:t>
      </w:r>
      <w:r w:rsidRPr="3F523891" w:rsidR="3F523891">
        <w:rPr>
          <w:lang w:val="en-US"/>
        </w:rPr>
        <w:t>aparato</w:t>
      </w:r>
      <w:r w:rsidRPr="3F523891" w:rsidR="3F523891">
        <w:rPr>
          <w:lang w:val="en-US"/>
        </w:rPr>
        <w:t xml:space="preserve"> </w:t>
      </w:r>
      <w:r w:rsidRPr="3F523891" w:rsidR="3F523891">
        <w:rPr>
          <w:lang w:val="en-US"/>
        </w:rPr>
        <w:t>aristotélico</w:t>
      </w:r>
      <w:r w:rsidRPr="3F523891" w:rsidR="3F523891">
        <w:rPr>
          <w:lang w:val="en-US"/>
        </w:rPr>
        <w:t xml:space="preserve"> de las cuatro </w:t>
      </w:r>
      <w:r w:rsidRPr="3F523891" w:rsidR="3F523891">
        <w:rPr>
          <w:lang w:val="en-US"/>
        </w:rPr>
        <w:t>causas</w:t>
      </w:r>
    </w:p>
    <w:p xmlns:wp14="http://schemas.microsoft.com/office/word/2010/wordml" w14:paraId="7A944368"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Aquí es donde el aparato aristotélico de las cuatro causas ofrece la herramienta conceptual precisa que tanto el constructivismo radical como el etnonacionalismo puro echan de menos. Aristóteles distingue, en la Física y en la Metafísica, cuatro tipos de causa necesarios para explicar cabalmente por qué algo es lo que es: la causa material, que es aquello de lo que algo está hecho, su sustrato último; la causa formal, que es la estructura o forma que organiza esa materia y le da su identidad específica; la causa eficiente, que es el agente que produce el cambio o la generación; y la causa final, que es el fin o propósito hacia el cual algo se ordena, aquello para lo cual existe.</w:t>
      </w:r>
    </w:p>
    <w:p xmlns:wp14="http://schemas.microsoft.com/office/word/2010/wordml" w14:paraId="76B71BA2"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Tomás de Aquino retoma este esquema y lo integra plenamente en su metafísica cristiana, aplicándolo tanto a la naturaleza física como a la acción humana orientada a fines, incluyendo el fin último sobrenatural de la visión beatífica. Para Tomás, ninguna de las cuatro causas puede sustituir a las demás sin que la explicación resulte incompleta: explicar una estatua únicamente por el bronce de que está hecha (causa material) sin referencia a la forma que el escultor le impuso (causa formal), al escultor mismo (causa eficiente) y al propósito conmemorativo o religioso para el cual fue encargada (causa final), sería una explicación gravemente deficiente, aunque no falsa en lo que afirma.</w:t>
      </w:r>
    </w:p>
    <w:p xmlns:wp14="http://schemas.microsoft.com/office/word/2010/wordml" w14:paraId="5B616551" wp14:textId="311E9301">
      <w:pPr>
        <w:pStyle w:val="Heading2"/>
      </w:pPr>
      <w:r w:rsidRPr="3F523891" w:rsidR="3F523891">
        <w:rPr>
          <w:lang w:val="en-US"/>
        </w:rPr>
        <w:t xml:space="preserve">4.2 </w:t>
      </w:r>
      <w:r w:rsidRPr="3F523891" w:rsidR="3F523891">
        <w:rPr>
          <w:lang w:val="en-US"/>
        </w:rPr>
        <w:t>Aplicación</w:t>
      </w:r>
      <w:r w:rsidRPr="3F523891" w:rsidR="3F523891">
        <w:rPr>
          <w:lang w:val="en-US"/>
        </w:rPr>
        <w:t xml:space="preserve"> del </w:t>
      </w:r>
      <w:r w:rsidRPr="3F523891" w:rsidR="3F523891">
        <w:rPr>
          <w:lang w:val="en-US"/>
        </w:rPr>
        <w:t>esquema</w:t>
      </w:r>
      <w:r w:rsidRPr="3F523891" w:rsidR="3F523891">
        <w:rPr>
          <w:lang w:val="en-US"/>
        </w:rPr>
        <w:t xml:space="preserve"> a la </w:t>
      </w:r>
      <w:r w:rsidRPr="3F523891" w:rsidR="3F523891">
        <w:rPr>
          <w:lang w:val="en-US"/>
        </w:rPr>
        <w:t>nación</w:t>
      </w:r>
      <w:r w:rsidRPr="3F523891" w:rsidR="3F523891">
        <w:rPr>
          <w:lang w:val="en-US"/>
        </w:rPr>
        <w:t xml:space="preserve">: </w:t>
      </w:r>
      <w:r w:rsidRPr="3F523891" w:rsidR="3F523891">
        <w:rPr>
          <w:lang w:val="en-US"/>
        </w:rPr>
        <w:t>materia</w:t>
      </w:r>
      <w:r w:rsidRPr="3F523891" w:rsidR="3F523891">
        <w:rPr>
          <w:lang w:val="en-US"/>
        </w:rPr>
        <w:t>, forma y fin</w:t>
      </w:r>
    </w:p>
    <w:p xmlns:wp14="http://schemas.microsoft.com/office/word/2010/wordml" w14:paraId="15183108"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Aplicado este esquema al problema que nos ocupa, la solución se presenta con notable elegancia conceptual. La raza, o más ampliamente la biología, es únicamente la causa material de la nación: el dato empírico bruto, el sustrato sobre el cual se asienta toda comunidad humana concreta, pero que, precisamente por ser solo causa material, carece por completo de un fin metafísico propio. La materia, en la filosofía aristotélica, nunca se determina a sí misma; necesita siempre de una forma que la organice y de un fin que la oriente. Caer, por tanto, en el biologicismo puro —pretender que la raza, por sí sola, dicta un programa político, una dirección histórica o un destino colectivo— es caer en una forma sutil pero real de materialismo determinista, estructuralmente análoga al materialismo que nuestra tradición católica ha combatido en sus otras variantes históricas, desde el marxismo hasta el cientificismo positivista del siglo XIX.</w:t>
      </w:r>
    </w:p>
    <w:p xmlns:wp14="http://schemas.microsoft.com/office/word/2010/wordml" w14:paraId="393CAE10"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Para que esa realidad material —la raza, el dato biológico— adquiera efectivamente una dirección, un sentido y un destino, necesita del concurso de las otras dos causas restantes. La causa formal es provista por la cultura: la lengua, las costumbres, las instituciones, las formas de vida heredadas y transmitidas generacionalmente, que organizan el sustrato biológico en una comunidad efectivamente reconocible como tal, dotada de identidad propia y distinguible de otras comunidades. Conviene notar que esta causa formal no es estática: las culturas evolucionan, absorben elementos externos, se transforman a lo largo de los siglos, tal como el mestizaje hispanoamericano ilustra de modo paradigmático, sin que ello implique necesariamente la pérdida de identidad formal, siempre que exista un núcleo organizador estable que dirija esa evolución.</w:t>
      </w:r>
    </w:p>
    <w:p xmlns:wp14="http://schemas.microsoft.com/office/word/2010/wordml" w14:paraId="7C537923"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 causa final, sin embargo —aquello hacia lo cual toda esa organización material y formal se ordena en última instancia—, solo puede ser provista por la fe y la conciencia histórica conjuntamente: la fe, porque dota a la nación de un horizonte trascendente que excede infinitamente su propia inmanencia biológica y cultural, ordenando el destino colectivo hacia un bien que no se agota en la mera supervivencia o reproducción del grupo; la conciencia histórica, porque permite a la nación reconocerse a sí misma como sujeto continuo a través del tiempo, heredero de una misión y responsable ante las generaciones futuras de su cumplimiento. Sin esta causa final, la causa formal cultural queda, a su vez, privada de dirección: una cultura sin horizonte trascendente tiende, con el tiempo, a degenerar en mero folclor, en costumbre vaciada de sentido, incapaz de exigir sacrificio o lealtad genuina.</w:t>
      </w:r>
    </w:p>
    <w:p xmlns:wp14="http://schemas.microsoft.com/office/word/2010/wordml" w14:paraId="1921A965" wp14:textId="7543BAC4">
      <w:pPr>
        <w:pStyle w:val="Heading2"/>
      </w:pPr>
      <w:r w:rsidRPr="3F523891" w:rsidR="3F523891">
        <w:rPr>
          <w:lang w:val="en-US"/>
        </w:rPr>
        <w:t xml:space="preserve">4.3 La causa </w:t>
      </w:r>
      <w:r w:rsidRPr="3F523891" w:rsidR="3F523891">
        <w:rPr>
          <w:lang w:val="en-US"/>
        </w:rPr>
        <w:t>eficiente</w:t>
      </w:r>
      <w:r w:rsidRPr="3F523891" w:rsidR="3F523891">
        <w:rPr>
          <w:lang w:val="en-US"/>
        </w:rPr>
        <w:t xml:space="preserve"> de la </w:t>
      </w:r>
      <w:r w:rsidRPr="3F523891" w:rsidR="3F523891">
        <w:rPr>
          <w:lang w:val="en-US"/>
        </w:rPr>
        <w:t>nación</w:t>
      </w:r>
      <w:r w:rsidRPr="3F523891" w:rsidR="3F523891">
        <w:rPr>
          <w:lang w:val="en-US"/>
        </w:rPr>
        <w:t xml:space="preserve">: </w:t>
      </w:r>
      <w:r w:rsidRPr="3F523891" w:rsidR="3F523891">
        <w:rPr>
          <w:lang w:val="en-US"/>
        </w:rPr>
        <w:t>agentes</w:t>
      </w:r>
      <w:r w:rsidRPr="3F523891" w:rsidR="3F523891">
        <w:rPr>
          <w:lang w:val="en-US"/>
        </w:rPr>
        <w:t xml:space="preserve"> </w:t>
      </w:r>
      <w:r w:rsidRPr="3F523891" w:rsidR="3F523891">
        <w:rPr>
          <w:lang w:val="en-US"/>
        </w:rPr>
        <w:t>históricos</w:t>
      </w:r>
      <w:r w:rsidRPr="3F523891" w:rsidR="3F523891">
        <w:rPr>
          <w:lang w:val="en-US"/>
        </w:rPr>
        <w:t xml:space="preserve"> y </w:t>
      </w:r>
      <w:r w:rsidRPr="3F523891" w:rsidR="3F523891">
        <w:rPr>
          <w:lang w:val="en-US"/>
        </w:rPr>
        <w:t>voluntad</w:t>
      </w:r>
      <w:r w:rsidRPr="3F523891" w:rsidR="3F523891">
        <w:rPr>
          <w:lang w:val="en-US"/>
        </w:rPr>
        <w:t xml:space="preserve"> </w:t>
      </w:r>
      <w:r w:rsidRPr="3F523891" w:rsidR="3F523891">
        <w:rPr>
          <w:lang w:val="en-US"/>
        </w:rPr>
        <w:t>política</w:t>
      </w:r>
    </w:p>
    <w:p xmlns:wp14="http://schemas.microsoft.com/office/word/2010/wordml" w14:paraId="0844E0BF"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examinar, antes de proceder al excurso crítico sobre el evolismo, la cuarta causa del esquema aristotélico que las secciones precedentes han mencionado solo de modo lateral: la causa eficiente, es decir, el agente concreto que produce el cambio o la generación de algo. Aplicada a la nación, esta causa plantea una pregunta distinta de las ya examinadas: no qué es la nación en su sustrato (causa material), ni qué forma la organiza (causa formal), ni hacia qué fin se orienta (causa final), sino quién, concretamente, produce históricamente su constitución, su transformación y, eventualmente, su restauración tras un período de decadencia.</w:t>
      </w:r>
    </w:p>
    <w:p xmlns:wp14="http://schemas.microsoft.com/office/word/2010/wordml" w14:paraId="3A3B6D00"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 causa eficiente de una nación no es, evidentemente, un agente único e identificable de modo simple, como lo sería el escultor respecto de su estatua en el ejemplo clásico aristotélico; es, más bien, una pluralidad compleja de agentes históricos —dinastías, conquistadores, legisladores, movimientos populares, instituciones eclesiales, organizaciones políticas— que actúan sucesivamente a lo largo del tiempo, cada uno aportando su contribución parcial a la constitución final de la nación tal como esta existe en un momento histórico dado. En el caso colombiano, esta pluralidad incluye, entre otros, a la Corona española y la jerarquía eclesiástica durante el período colonial, a las élites criollas independentistas examinadas críticamente en la sección tercera, a los sucesivos legisladores republicanos, y, en el presente, a los movimientos políticos y sociales que compiten por orientar el rumbo futuro de la nación, entre los cuales la propia UNC aspira a constituirse como agente eficiente relevante, conforme al programa desarrollado en la sección quinta de este ensayo.</w:t>
      </w:r>
    </w:p>
    <w:p xmlns:wp14="http://schemas.microsoft.com/office/word/2010/wordml" w14:paraId="1E83E8EF"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Resulta filosóficamente importante notar que la causa eficiente, a diferencia de la causa final, no es necesariamente única ni unívoca a lo largo de la historia de una nación: distintos agentes, con frecuencia enfrentados entre sí, pueden disputarse simultáneamente el papel de causa eficiente dominante en un momento histórico dado, y la historia política de cualquier nación puede leerse, en buena medida, como la sucesión de esas disputas. Esto tiene una consecuencia directa para el diagnóstico desarrollado en la sección tercera de este ensayo respecto de las tres corrupciones del caso colombiano: cada una de esas corrupciones —la liberal fundadora, la marxista revolucionaria, la protestante reciente— puede leerse, precisamente, como el intento de un agente histórico particular de constituirse en causa eficiente dominante de la nación, desplazando a la Iglesia católica y a las instituciones tradicionales de su papel histórico como agente eficiente principal de la causa formal y final examinadas en las secciones segunda y cuarta.</w:t>
      </w:r>
    </w:p>
    <w:p xmlns:wp14="http://schemas.microsoft.com/office/word/2010/wordml" w14:paraId="02AF598A"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lectura permite, además, precisar con mayor rigor el programa desarrollado en el nivel de la causa eficiente en la sección quinta: la tarea de la UNC no consiste meramente en organizarse internamente con disciplina, sino en disputar activamente, frente a los agentes eficientes rivales que sostienen las tres corrupciones identificadas, el papel histórico de causa eficiente capaz de reorientar la nación hacia su causa final propia. Esta disputa, conforme a la distinción schmittiana entre administración técnica y decisión política existencial ya introducida en la sección quinta, no puede limitarse a un trabajo meramente cultural o educativo desconectado de la dimensión propiamente política y, en su caso, conflictiva que toda disputa real por el papel de causa eficiente dominante de una nación necesariamente comporta.</w:t>
      </w:r>
    </w:p>
    <w:p xmlns:wp14="http://schemas.microsoft.com/office/word/2010/wordml" w14:paraId="17C5A442" wp14:textId="5F5E3911">
      <w:pPr>
        <w:pStyle w:val="Heading2"/>
      </w:pPr>
      <w:r w:rsidRPr="3F523891" w:rsidR="3F523891">
        <w:rPr>
          <w:lang w:val="en-US"/>
        </w:rPr>
        <w:t xml:space="preserve">4.4 </w:t>
      </w:r>
      <w:r w:rsidRPr="3F523891" w:rsidR="3F523891">
        <w:rPr>
          <w:lang w:val="en-US"/>
        </w:rPr>
        <w:t>Excurso</w:t>
      </w:r>
      <w:r w:rsidRPr="3F523891" w:rsidR="3F523891">
        <w:rPr>
          <w:lang w:val="en-US"/>
        </w:rPr>
        <w:t xml:space="preserve"> </w:t>
      </w:r>
      <w:r w:rsidRPr="3F523891" w:rsidR="3F523891">
        <w:rPr>
          <w:lang w:val="en-US"/>
        </w:rPr>
        <w:t>crítico</w:t>
      </w:r>
      <w:r w:rsidRPr="3F523891" w:rsidR="3F523891">
        <w:rPr>
          <w:lang w:val="en-US"/>
        </w:rPr>
        <w:t xml:space="preserve">: el </w:t>
      </w:r>
      <w:r w:rsidRPr="3F523891" w:rsidR="3F523891">
        <w:rPr>
          <w:lang w:val="en-US"/>
        </w:rPr>
        <w:t>tradicionalismo</w:t>
      </w:r>
      <w:r w:rsidRPr="3F523891" w:rsidR="3F523891">
        <w:rPr>
          <w:lang w:val="en-US"/>
        </w:rPr>
        <w:t xml:space="preserve"> integral de Evola y </w:t>
      </w:r>
      <w:r w:rsidRPr="3F523891" w:rsidR="3F523891">
        <w:rPr>
          <w:lang w:val="en-US"/>
        </w:rPr>
        <w:t>su</w:t>
      </w:r>
      <w:r w:rsidRPr="3F523891" w:rsidR="3F523891">
        <w:rPr>
          <w:lang w:val="en-US"/>
        </w:rPr>
        <w:t xml:space="preserve"> </w:t>
      </w:r>
      <w:r w:rsidRPr="3F523891" w:rsidR="3F523891">
        <w:rPr>
          <w:lang w:val="en-US"/>
        </w:rPr>
        <w:t>insuficiencia</w:t>
      </w:r>
    </w:p>
    <w:p xmlns:wp14="http://schemas.microsoft.com/office/word/2010/wordml" w14:paraId="3B1DC6CE" wp14:textId="2260E9EB">
      <w:pPr>
        <w:spacing w:after="160" w:line="360" w:lineRule="auto"/>
        <w:ind w:firstLine="480"/>
        <w:jc w:val="both"/>
      </w:pPr>
      <w:r w:rsidRPr="3F523891" w:rsidR="3F523891">
        <w:rPr>
          <w:rFonts w:ascii="Times New Roman" w:hAnsi="Times New Roman" w:eastAsia="Times New Roman" w:cs="Times New Roman"/>
          <w:sz w:val="24"/>
          <w:szCs w:val="24"/>
          <w:lang w:val="en-US"/>
        </w:rPr>
        <w:t xml:space="preserve">Resulta pertinente, antes de cerrar este cuarto movimiento, examinar críticamente una corriente que, aunque próxima en ciertos aspectos a la sensibilidad jerárquica de este </w:t>
      </w:r>
      <w:r w:rsidRPr="3F523891" w:rsidR="3F523891">
        <w:rPr>
          <w:rFonts w:ascii="Times New Roman" w:hAnsi="Times New Roman" w:eastAsia="Times New Roman" w:cs="Times New Roman"/>
          <w:sz w:val="24"/>
          <w:szCs w:val="24"/>
          <w:lang w:val="en-US"/>
        </w:rPr>
        <w:t>ensayo</w:t>
      </w:r>
      <w:r w:rsidRPr="3F523891" w:rsidR="3F523891">
        <w:rPr>
          <w:rFonts w:ascii="Times New Roman" w:hAnsi="Times New Roman" w:eastAsia="Times New Roman" w:cs="Times New Roman"/>
          <w:sz w:val="24"/>
          <w:szCs w:val="24"/>
          <w:lang w:val="en-US"/>
        </w:rPr>
        <w:t>, se distancia decisivamente de él en el punto exacto de la causa final: el tradicionalismo integral de Julius Evola. Evola sostiene, en su obra sobre la rebelión contra el mundo moderno, que existe una «Tradición» primordial única, anterior y superior a todas las religiones históricas particulares, incluido el cristianismo, el cual considera, en su lectura, una forma religiosa ya degenerada respecto de esa Tradición original, precisamente por su énfasis igualitario y su origen en lo que él caracteriza como una sensibilidad religiosa de tipo «semita», ajena al espíritu jerárquico y aristocrático de las civilizaciones indoeuropeas antiguas.</w:t>
      </w:r>
    </w:p>
    <w:p xmlns:wp14="http://schemas.microsoft.com/office/word/2010/wordml" w14:paraId="7E0A4A5D"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posición, que ha ejercido notable influencia sobre ciertos sectores del nacionalismo europeo contemporáneo, debe ser rechazada por el presente ensayo con el mismo rigor con que se rechazó la objeción análoga de la Nueva Derecha examinada en la sección segunda, y por razones estructuralmente idénticas. Evola comete, en primer lugar, un error histórico al postular una «Tradición primordial» unitaria que ninguna evidencia histórica o antropológica seria permite sostener; las llamadas civilizaciones tradicionales que él invoca —la india, la persa, la nórdica, la romana— presentan, en realidad, cosmovisiones religiosas notablemente diversas entre sí, cuya unidad solo puede sostenerse al precio de una abstracción especulativa que el propio Evola nunca somete a verificación histórica rigurosa. En segundo lugar, y más decisivamente, Evola comete el mismo error categorial que hemos identificado repetidamente en este ensayo: presupone que existe una causa formal-final étnico-espiritual —su «Tradición»— que sería superior y anterior a cualquier religión histórica positiva concreta, cuando en realidad, como ya se argumentó, ninguna causa formal o final puede sostenerse en el vacío de una abstracción metahistórica; toda causa formal y final efectivamente operante en la historia humana se encarna necesariamente en tradiciones religiosas concretas, con instituciones, doctrinas y representación visibles —precisamente la capacidad representativa que Schmitt atribuye al catolicismo y que ninguna «Tradición primordial» evoliana, por definición inefable y pretendidamente anterior a toda forma histórica concreta, puede ofrecer.</w:t>
      </w:r>
    </w:p>
    <w:p xmlns:wp14="http://schemas.microsoft.com/office/word/2010/wordml" w14:paraId="736B9DB0"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crítica a Evola tiene, además, una consecuencia programática directa para la UNC que conviene anticipar aquí brevemente, antes del desarrollo extenso que recibirá en la sección quinta: nuestra organización debe resistir activamente la tentación, presente en ciertos círculos del nacionalismo contemporáneo influidos por el evolismo, de sustituir el compromiso católico concreto por un esoterismo espiritual difuso y sincrético, que carece precisamente de la capacidad institucional y representativa que, según hemos argumentado a lo largo de todo este ensayo, es indispensable para dar a la nación una causa final efectivamente operante en la historia, y no meramente especulativa.</w:t>
      </w:r>
    </w:p>
    <w:p xmlns:wp14="http://schemas.microsoft.com/office/word/2010/wordml" w14:paraId="23EBF6C3" wp14:textId="19D566D1">
      <w:pPr>
        <w:pStyle w:val="Heading2"/>
      </w:pPr>
      <w:r w:rsidRPr="3F523891" w:rsidR="3F523891">
        <w:rPr>
          <w:lang w:val="en-US"/>
        </w:rPr>
        <w:t xml:space="preserve">4.5 Colombia, </w:t>
      </w:r>
      <w:r w:rsidRPr="3F523891" w:rsidR="3F523891">
        <w:rPr>
          <w:lang w:val="en-US"/>
        </w:rPr>
        <w:t>Hispanoamérica</w:t>
      </w:r>
      <w:r w:rsidRPr="3F523891" w:rsidR="3F523891">
        <w:rPr>
          <w:lang w:val="en-US"/>
        </w:rPr>
        <w:t xml:space="preserve"> y la </w:t>
      </w:r>
      <w:r w:rsidRPr="3F523891" w:rsidR="3F523891">
        <w:rPr>
          <w:lang w:val="en-US"/>
        </w:rPr>
        <w:t>articulación</w:t>
      </w:r>
      <w:r w:rsidRPr="3F523891" w:rsidR="3F523891">
        <w:rPr>
          <w:lang w:val="en-US"/>
        </w:rPr>
        <w:t xml:space="preserve"> de las cuatro </w:t>
      </w:r>
      <w:r w:rsidRPr="3F523891" w:rsidR="3F523891">
        <w:rPr>
          <w:lang w:val="en-US"/>
        </w:rPr>
        <w:t>causas</w:t>
      </w:r>
    </w:p>
    <w:p xmlns:wp14="http://schemas.microsoft.com/office/word/2010/wordml" w14:paraId="2B7B816E"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el caso específico de Colombia, y de Hispanoamérica en general, esta causa final no puede separarse, sin grave distorsión histórica, de la tradición católica que ha conformado, durante más de cinco siglos, tanto la causa formal —la cultura, la lengua, las instituciones— como la causa final propiamente dicha —el horizonte de sentido trascendente— de la nación. El mestizaje hispanoamericano, lejos de ser un obstáculo para esta articulación, la confirma: precisamente porque la identidad hispanoamericana no puede fundarse exclusivamente en la causa material racial, dada su composición étnicamente compleja desde el origen mismo de la Conquista, la causa formal cultural y la causa final religiosa adquieren, en nuestro contexto, un peso explicativo todavía mayor que en contextos étnicamente más homogéneos como el europeo.</w:t>
      </w:r>
    </w:p>
    <w:p xmlns:wp14="http://schemas.microsoft.com/office/word/2010/wordml" w14:paraId="5A01EF0E"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Negar esta articulación, ya sea desde el biologicismo puro que pretende bastarse con la causa material, ya sea desde el constructivismo cívico que pretende bastarse con la mera causa eficiente del aparato estatal, es condenar a la nación a una incompletud metafísica que, más temprano que tarde, se traduce en incompletud política: en la incapacidad de generar lealtad real, sacrificio cívico auténtico, y sentido histórico compartido. El programa que se desprende de este cuarto movimiento argumentativo, y que será desarrollado con detalle en la sección siguiente, consiste precisamente en sostener simultáneamente las cuatro causas en su justa proporción, sin absolutizar ninguna de ellas a expensas de las demás.</w:t>
      </w:r>
    </w:p>
    <w:p xmlns:wp14="http://schemas.microsoft.com/office/word/2010/wordml" w14:paraId="6613C336" wp14:textId="77777777">
      <w:pPr>
        <w:pStyle w:val="Heading1"/>
      </w:pPr>
      <w:r w:rsidRPr="3F523891" w:rsidR="3F523891">
        <w:rPr>
          <w:lang w:val="en-US"/>
        </w:rPr>
        <w:t>5. Implicaciones programáticas: de la metafísica a la acción política de la UNC</w:t>
      </w:r>
    </w:p>
    <w:p xmlns:wp14="http://schemas.microsoft.com/office/word/2010/wordml" w14:paraId="37DC85C1"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edificio conceptual construido en las cuatro secciones anteriores no tendría valor real para nuestra organización si permaneciera en el plano puramente especulativo. Una doctrina política que no desemboca en un programa de acción concreto es, en el mejor de los casos, un ejercicio académico estéril, y en el peor, una forma de evasión intelectual frente a las tareas que la hora histórica colombiana efectivamente exige. Corresponde, por tanto, extraer de la metafísica de las cuatro causas un programa de acción articulado en cuatro niveles, correspondientes cada uno a una de las causas examinadas, para mostrar cómo solo su integración bajo la causa final católica produce una política nacional coherente.</w:t>
      </w:r>
    </w:p>
    <w:p xmlns:wp14="http://schemas.microsoft.com/office/word/2010/wordml" w14:paraId="44C42440" wp14:textId="77777777">
      <w:pPr>
        <w:pStyle w:val="Heading2"/>
      </w:pPr>
      <w:r w:rsidRPr="3F523891" w:rsidR="3F523891">
        <w:rPr>
          <w:lang w:val="en-US"/>
        </w:rPr>
        <w:t>5.1 El nivel de la causa material: el reconocimiento sin absolutización</w:t>
      </w:r>
    </w:p>
    <w:p xmlns:wp14="http://schemas.microsoft.com/office/word/2010/wordml" w14:paraId="48D8335D"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el nivel de la causa material —la raza, el sustrato biológico de la nación—, la tarea de la UNC no puede ser, conforme a lo argumentado en la sección cuarta, la de construir un programa político racialista que pretenda derivar directamente de la composición étnica de Colombia un destino o una jerarquía política. Tal programa caería exactamente en el biologicismo determinista que hemos rechazado por razones filosóficas de fondo. La tarea correspondiente a este nivel es, más bien, defensiva y descriptiva: sostener, frente al constructivismo igualitarista dominante en buena parte de la academia y la política oficial colombianas, que la composición étnica del pueblo colombiano —fruto del mestizaje hispano-indígena, con aportes africanos e inmigratorios posteriores— es un dato real e irrenunciable de nuestra identidad, que no debe ser ni negado por pudor ideológico ni absolutizado como único criterio político, sino simplemente reconocido como el sustrato material sobre el cual ha de obrar la causa formal.</w:t>
      </w:r>
    </w:p>
    <w:p xmlns:wp14="http://schemas.microsoft.com/office/word/2010/wordml" w14:paraId="37B44734"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Esto implica, en términos prácticos inmediatos, resistir tanto la negación progresista del hecho étnico —que pretende disolver toda referencia a la composición racial de la nación en un universalismo abstracto— como la instrumentalización racialista que ciertos sectores marginales del nacionalismo internacional pretenden importar acríticamente al contexto hispanoamericano, sin advertir que las categorías raciales desarrolladas en contextos europeos o angloamericanos no se aplican sin distorsión grave a una nación mestiza como la colombiana.</w:t>
      </w:r>
    </w:p>
    <w:p xmlns:wp14="http://schemas.microsoft.com/office/word/2010/wordml" w14:paraId="76DAF106" wp14:textId="77777777">
      <w:pPr>
        <w:pStyle w:val="Heading2"/>
      </w:pPr>
      <w:r w:rsidRPr="3F523891" w:rsidR="3F523891">
        <w:rPr>
          <w:lang w:val="en-US"/>
        </w:rPr>
        <w:t>5.2 El nivel de la causa formal: restauración cultural y formación doctrinal</w:t>
      </w:r>
    </w:p>
    <w:p xmlns:wp14="http://schemas.microsoft.com/office/word/2010/wordml" w14:paraId="0DA0A2EB"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el nivel de la causa formal —la cultura—, la tarea programática de la UNC es de naturaleza eminentemente educativa y restauradora. Si, como hemos sostenido siguiendo a Anthony D. Smith, las naciones modernas se construyen sobre núcleos étnico-culturales premodernos reales, entonces la primera tarea política concreta consiste en la recuperación activa de la memoria histórica colombiana frente al relato oficial dominante, que tiende a presentar la historia patria bajo claves progresistas, liberal-revolucionarias o, en su versión más reciente, abiertamente marxizantes.</w:t>
      </w:r>
    </w:p>
    <w:p xmlns:wp14="http://schemas.microsoft.com/office/word/2010/wordml" w14:paraId="7EBF40B2"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Esto exige, en la práctica inmediata, un trabajo sostenido de producción doctrinal —como el que el presente ensayo mismo pretende ejemplificar—, de formación de cuadros jóvenes capaces de sostener estas tesis en el debate público universitario y, a mediano plazo, de incidencia cultural en espacios estudiantiles, periodísticos y, eventualmente, institucionales. La restauración cultural no puede limitarse a la nostalgia decorativa por símbolos del pasado colonial o republicano temprano; debe articularse como un programa positivo de recuperación de las fuentes intelectuales propias —el pensamiento conservador hispanoamericano del siglo XIX, la tradición tomista, los autores ya citados en este ensayo— frente a la hegemonía casi total que el marco progresista y, en menor medida, el liberal tecnocrático, ejercen actualmente sobre la formación universitaria colombiana.</w:t>
      </w:r>
    </w:p>
    <w:p xmlns:wp14="http://schemas.microsoft.com/office/word/2010/wordml" w14:paraId="2ABDD6FC" wp14:textId="77777777">
      <w:pPr>
        <w:pStyle w:val="Heading2"/>
      </w:pPr>
      <w:r w:rsidRPr="3F523891" w:rsidR="3F523891">
        <w:rPr>
          <w:lang w:val="en-US"/>
        </w:rPr>
        <w:t>5.3 El nivel de la causa eficiente: la UNC como agente organizado</w:t>
      </w:r>
    </w:p>
    <w:p xmlns:wp14="http://schemas.microsoft.com/office/word/2010/wordml" w14:paraId="58C7786D"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el nivel de la causa eficiente —el agente concreto que produce el cambio político—, la UNC debe asumir explícitamente que ningún cambio cultural profundo se produce sin un agente organizado, disciplinado y dispuesto a sostener el conflicto que toda restauración de un ethos tradicional necesariamente implica frente a las fuerzas que se benefician del orden presente. Aquí resulta pertinente recuperar la distinción schmittiana entre la política como administración técnica de intereses y la política como decisión existencial entre amigo y enemigo: la UNC no puede limitarse a ser un foro de discusión ideológica interna, sino que debe constituirse como el agente eficiente —la causa eficiente, en sentido estricto— capaz de traducir el diagnóstico de las tres corrupciones identificadas en la sección tercera —la liberal fundadora, la marxista revolucionaria y la protestante reciente— en una práctica política efectiva de restauración.</w:t>
      </w:r>
    </w:p>
    <w:p xmlns:wp14="http://schemas.microsoft.com/office/word/2010/wordml" w14:paraId="26680D53"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dimensión organizativa no es secundaria respecto de la dimensión doctrinal desarrollada en el nivel anterior; ambas se necesitan mutuamente. Una doctrina sin organización que la sostenga y la propague queda reducida a ejercicio de salón; una organización sin doctrina rigurosa que la oriente degenera, tarde o temprano, en mero activismo reactivo, sin capacidad de sostener posiciones coherentes frente a los embates retóricos de sus adversarios ideológicos. La función específica de documentos como el presente ensayo es, precisamente, proveer a la causa eficiente organizativa de la UNC el armazón doctrinal que le permita actuar con coherencia interna a lo largo del tiempo.</w:t>
      </w:r>
    </w:p>
    <w:p xmlns:wp14="http://schemas.microsoft.com/office/word/2010/wordml" w14:paraId="01E3E6C5" wp14:textId="77777777">
      <w:pPr>
        <w:pStyle w:val="Heading2"/>
      </w:pPr>
      <w:r w:rsidRPr="3F523891" w:rsidR="3F523891">
        <w:rPr>
          <w:lang w:val="en-US"/>
        </w:rPr>
        <w:t>5.4 El nivel de la causa final: la primacía de lo católico</w:t>
      </w:r>
    </w:p>
    <w:p xmlns:wp14="http://schemas.microsoft.com/office/word/2010/wordml" w14:paraId="6E197EBD"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Finalmente, en el nivel de la causa final, que es el que efectivamente unifica y ordena a los tres anteriores, la UNC debe sostener sin ambigüedad que el horizonte último de su acción política no es el poder por el poder mismo, ni la mera gestión eficiente del aparato estatal heredado del nacionalismo cívico que hemos criticado, sino la restauración del ethos católico y tradicional como horizonte de sentido de la nación colombiana. Esto implica, en términos programáticos concretos, situar la cuestión religiosa —hoy frecuentemente relegada en los movimientos nacionalistas contemporáneos a un plano meramente estético o identitario— en el centro mismo del proyecto político, no como un añadido devocional, sino como aquello que, según hemos argumentado a lo largo de todo el ensayo, da sentido civilizatorio a todos los demás niveles de la acción política.</w:t>
      </w:r>
    </w:p>
    <w:p xmlns:wp14="http://schemas.microsoft.com/office/word/2010/wordml" w14:paraId="3A8FB031"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Sin esta primacía de la causa final católica, los otros tres niveles del programa —el reconocimiento del dato material, la restauración cultural y la organización eficiente— corren el riesgo de degenerar, cada uno por separado, en las formas patológicas que este ensayo ha buscado precisamente evitar: el biologicismo determinista en el primer caso, el tradicionalismo meramente folclórico en el segundo, y el activismo político sin horizonte trascendente en el tercero. Solo la causa final ordena efectivamente a las otras tres hacia un fin que las excede y las justifica.</w:t>
      </w:r>
    </w:p>
    <w:p xmlns:wp14="http://schemas.microsoft.com/office/word/2010/wordml" w14:paraId="3B0B627F"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añadir, como cierre de este quinto movimiento, que estos cuatro niveles no operan de modo secuencial —primero la causa material, luego la formal, luego la eficiente, finalmente la final— sino simultáneo y permanentemente interrelacionado. La formación doctrinal de cuadros (causa formal) requiere ya, desde el inicio, estar orientada por la causa final católica; la organización política eficiente requiere, a su vez, reconocer el sustrato material sobre el cual opera para no caer en abstracciones desconectadas de la realidad social colombiana concreta. Este carácter simultáneo y mutuamente referido de los cuatro niveles es, precisamente, lo que distingue a un programa político metafísicamente fundado de la mera acumulación pragmática de tácticas inconexas que caracteriza, con harta frecuencia, a buena parte de la acción política contemporánea, tanto dentro como fuera del campo nacionalista.</w:t>
      </w:r>
    </w:p>
    <w:p xmlns:wp14="http://schemas.microsoft.com/office/word/2010/wordml" w14:paraId="03FA13F3" wp14:textId="77777777">
      <w:pPr>
        <w:pStyle w:val="Heading1"/>
      </w:pPr>
      <w:r w:rsidRPr="3F523891" w:rsidR="3F523891">
        <w:rPr>
          <w:lang w:val="en-US"/>
        </w:rPr>
        <w:t>6. Soberanía, derecho natural y el orden internacional de las naciones</w:t>
      </w:r>
    </w:p>
    <w:p xmlns:wp14="http://schemas.microsoft.com/office/word/2010/wordml" w14:paraId="377FD9A9"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Las cinco secciones precedentes han examinado la nación desde dentro: su origen natural, su tipología cultural, su estatuto metafísico frente a la objeción de la corrupción, su composición causal, y el programa político interno que de ello se desprende. Queda pendiente, sin embargo, una dimensión que ningún tratado sobre el nacionalismo puede omitir sin incurrir en una grave incompletud: la cuestión de cómo se relacionan las naciones entre sí, y bajo qué principio puede sostenerse, frente al universalismo jurídico contemporáneo, la legitimidad misma de la pluralidad de naciones soberanas como forma política deseable.</w:t>
      </w:r>
    </w:p>
    <w:p xmlns:wp14="http://schemas.microsoft.com/office/word/2010/wordml" w14:paraId="186CB627" wp14:textId="77777777">
      <w:pPr>
        <w:pStyle w:val="Heading2"/>
      </w:pPr>
      <w:r w:rsidRPr="3F523891" w:rsidR="3F523891">
        <w:rPr>
          <w:lang w:val="en-US"/>
        </w:rPr>
        <w:t>6.1 La soberanía como atributo de la causa formal y final</w:t>
      </w:r>
    </w:p>
    <w:p xmlns:wp14="http://schemas.microsoft.com/office/word/2010/wordml" w14:paraId="25EEE705"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retomar, en este sexto movimiento, el aparato de las cuatro causas desarrollado en la sección cuarta, y aplicarlo ahora no al problema de la composición interna de la nación, sino al de su relación con otras naciones. La soberanía, entendida en sentido clásico como la capacidad de una comunidad política de darse a sí misma su propio orden sin subordinación a una autoridad externa, no es un atributo de la causa material de la nación —no se posee soberanía por el mero hecho de existir como agregado biológico—, sino un atributo que se deriva directamente de la articulación entre la causa formal cultural y la causa final trascendente. Una comunidad que ha alcanzado, mediante su cultura y su historia, una identidad formal suficientemente definida, y que se orienta hacia un fin trascendente propio, reclama legítimamente el derecho a gobernarse según ese fin, sin que una potencia externa, por más poderosa que sea, pueda sustituir legítimamente ese gobierno propio por una administración ajena a la causa final que constituye a esa nación como tal.</w:t>
      </w:r>
    </w:p>
    <w:p xmlns:wp14="http://schemas.microsoft.com/office/word/2010/wordml" w14:paraId="0E15F751"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derivación tiene una consecuencia inmediata frente a las doctrinas contemporáneas que pretenden subordinar la soberanía nacional a instancias supranacionales de gobernanza global, presentadas habitualmente bajo el lenguaje técnico de la cooperación internacional, los derechos humanos universales o la gobernanza climática. Sin negar que existan, en efecto, problemas que exceden la capacidad de resolución de cualquier nación aislada y que requieren cooperación internacional genuina, debe señalarse que buena parte de la arquitectura institucional supranacional contemporánea no se limita a coordinar la cooperación entre naciones soberanas, sino que aspira, en su tendencia más radical, a sustituir la causa final propia de cada nación particular por una causa final genérica, abstracta y universal, gestionada por burocracias internacionales sin vínculo orgánico con ninguna comunidad histórica concreta. Esta aspiración repite, en el plano internacional, exactamente el mismo error que hemos identificado en la sección segunda respecto del nacionalismo cívico interno: pretende sustituir la causa final trascendente, encarnada históricamente en tradiciones religiosas y culturales concretas, por un aparato administrativo puramente técnico, esta vez de alcance planetario.</w:t>
      </w:r>
    </w:p>
    <w:p xmlns:wp14="http://schemas.microsoft.com/office/word/2010/wordml" w14:paraId="09F484FC" wp14:textId="77777777">
      <w:pPr>
        <w:pStyle w:val="Heading2"/>
      </w:pPr>
      <w:r w:rsidRPr="3F523891" w:rsidR="3F523891">
        <w:rPr>
          <w:lang w:val="en-US"/>
        </w:rPr>
        <w:t>6.2 El derecho natural clásico frente al positivismo internacional</w:t>
      </w:r>
    </w:p>
    <w:p xmlns:wp14="http://schemas.microsoft.com/office/word/2010/wordml" w14:paraId="5B1193DA"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crítica al universalismo administrativo contemporáneo no debe confundirse, sin embargo, con un relativismo que negara la existencia de cualquier ley moral común entre las naciones. Aquí resulta indispensable recuperar la distinción clásica, presente ya en Tomás de Aquino y desarrollada extensamente por la escuela española de derecho natural de los siglos XVI y XVII —particularmente por Francisco de Vitoria y Francisco Suárez—, entre el derecho natural propiamente dicho, common a toda la humanidad en virtud de la razón compartida, y el derecho positivo particular de cada nación, que aplica y especifica ese derecho natural según las circunstancias históricas y culturales concretas de cada pueblo.</w:t>
      </w:r>
    </w:p>
    <w:p xmlns:wp14="http://schemas.microsoft.com/office/word/2010/wordml" w14:paraId="2851A49D"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Vitoria, en sus relecciones sobre los indios, sostiene que los pueblos indígenas americanos, a pesar de su diversidad cultural radical respecto de la civilización europea, poseían verdadera soberanía política y verdadero dominio sobre sus territorios en virtud del derecho natural común a toda criatura racional, y que ningún título de conquista basado meramente en la diferencia cultural o religiosa podía legitimar su despojo. Esta doctrina, paradójicamente, ofrece el fundamento jurídico-filosófico más sólido para sostener, en el presente, la legitimidad de la pluralidad de naciones soberanas frente al universalismo administrativo contemporáneo: si el derecho natural reconoce la soberanía legítima incluso a pueblos culturalmente muy distantes entre sí, con mayor razón debe reconocer la soberanía de las naciones constituidas, como la colombiana, sobre una base cultural y religiosa históricamente articulada y consolidada durante siglos.</w:t>
      </w:r>
    </w:p>
    <w:p xmlns:wp14="http://schemas.microsoft.com/office/word/2010/wordml" w14:paraId="7A5BAE67"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Suárez, por su parte, en su tratado sobre las leyes, distingue con precisión entre el derecho de gentes —ius gentium—, que regula las relaciones entre los pueblos en virtud de su naturaleza social común, y el derecho civil particular de cada nación, mostrando que ambos órdenes son compatibles y mutuamente necesarios: el derecho de gentes no suprime ni sustituye al derecho civil particular, sino que provee el marco mínimo de justicia que hace posible la coexistencia pacífica entre naciones que, cada una, conservan su propio derecho positivo interno conforme a su causa formal y final particular. Este es, precisamente, el modelo de orden internacional que el presente ensayo defiende frente a las alternativas contemporáneas: ni el aislacionismo nacionalista que negara toda obligación moral hacia las demás naciones, ni el universalismo administrativo que disolviera la soberanía particular en una gobernanza global homogénea, sino una pluralidad ordenada de naciones soberanas, cada una fiel a su propia causa final, vinculadas entre sí por el derecho natural común que Vitoria y Suárez supieron articular con precisión clásica.</w:t>
      </w:r>
    </w:p>
    <w:p xmlns:wp14="http://schemas.microsoft.com/office/word/2010/wordml" w14:paraId="65663FAE" wp14:textId="77777777">
      <w:pPr>
        <w:pStyle w:val="Heading2"/>
      </w:pPr>
      <w:r w:rsidRPr="3F523891" w:rsidR="3F523891">
        <w:rPr>
          <w:lang w:val="en-US"/>
        </w:rPr>
        <w:t>6.3 Schmitt y la crítica al universalismo jurídico despolitizador</w:t>
      </w:r>
    </w:p>
    <w:p xmlns:wp14="http://schemas.microsoft.com/office/word/2010/wordml" w14:paraId="6FB48B80"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Carl Schmitt, ya citado extensamente en las secciones segunda y cuarta de este ensayo, ofrece el complemento crítico contemporáneo a la doctrina clásica de Vitoria y Suárez. Schmitt sostiene, en su análisis del orden internacional moderno, que el universalismo jurídico que pretende fundar un derecho internacional puramente técnico y despolitizado, indiferente a la pluralidad concreta de las naciones y sus identidades particulares, no es, como pretende presentarse, una superación neutral de la política internacional tradicional, sino una forma específica y particularmente peligrosa de hacer política bajo la apariencia de su negación. Quien declara estar por encima de la política, situándose en el lugar de un derecho universal sin excepciones, se arroga precisamente la posición de máximo poder político: la de definir, sin posibilidad de apelación, qué cuenta como humanidad legítima y qué cuenta como excepción a ser corregida, sancionada o intervenida.</w:t>
      </w:r>
    </w:p>
    <w:p xmlns:wp14="http://schemas.microsoft.com/office/word/2010/wordml" w14:paraId="169B2419"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crítica schmittiana resulta directamente aplicable al diagnóstico que la UNC debe sostener frente a ciertas instancias del orden internacional contemporáneo que, bajo el lenguaje de los derechos humanos universales o la promoción de la democracia, terminan funcionando como instrumentos de presión política sobre naciones que, como Colombia, pretenden sostener un orden interno fundado en su propia tradición católica y cultural particular, frente a presiones externas que exigen su homogeneización conforme a estándares ideológicos ajenos a esa tradición. La soberanía nacional, entendida conforme al esquema de las cuatro causas desarrollado en este ensayo, no es meramente un principio jurídico-formal a defender por inercia tradicionalista, sino la condición misma de posibilidad para que una nación pueda sostener su causa final propia frente a la homogeneización que tanto el universalismo administrativo como el universalismo jurídico despolitizado pretenden imponerle.</w:t>
      </w:r>
    </w:p>
    <w:p xmlns:wp14="http://schemas.microsoft.com/office/word/2010/wordml" w14:paraId="26094195" wp14:textId="77777777">
      <w:pPr>
        <w:pStyle w:val="Heading2"/>
      </w:pPr>
      <w:r w:rsidRPr="3F523891" w:rsidR="3F523891">
        <w:rPr>
          <w:lang w:val="en-US"/>
        </w:rPr>
        <w:t>6.4 Implicaciones para la política exterior colombiana</w:t>
      </w:r>
    </w:p>
    <w:p xmlns:wp14="http://schemas.microsoft.com/office/word/2010/wordml" w14:paraId="6ECFA187"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De este sexto movimiento se desprende una orientación general para la política exterior que la UNC debe sostener, sin que ello implique todavía la articulación detallada de alianzas o bloques específicos, tarea que corresponde a documentos de naturaleza más estratégica que al presente ensayo doctrinal. Colombia debe participar activamente en los mecanismos de cooperación internacional que efectivamente sirven a problemas que exceden su capacidad de resolución aislada, conforme al derecho de gentes clásico, pero debe resistir, con la misma firmeza con que resiste las corrupciones ideológicas internas identificadas en la sección tercera, cualquier mecanismo de presión internacional que pretenda condicionar esa cooperación a la homogeneización ideológica de su orden interno conforme a estándares ajenos a su tradición católica e hispánica.</w:t>
      </w:r>
    </w:p>
    <w:p xmlns:wp14="http://schemas.microsoft.com/office/word/2010/wordml" w14:paraId="0CB48ABE"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orientación general no es, conviene precisarlo, un aislacionismo defensivo sin más, sino la aplicación consecuente, en el plano internacional, del mismo principio que ha guiado todo el ensayo: que ninguna causa eficiente externa, por poderosa que sea, puede legítimamente sustituir la causa final propia de una nación constituida, así como, en el plano interno examinado en la sección segunda, ningún Estado burocrático puede sustituir el sustrato histórico y espiritual que únicamente la tradición cultural y religiosa puede proveer. La soberanía nacional, en este sentido, no es un fin en sí misma, sino la condición instrumental necesaria para que la nación pueda perseguir, sin interferencia ilegítima, su propia causa final trascendente.</w:t>
      </w:r>
    </w:p>
    <w:p xmlns:wp14="http://schemas.microsoft.com/office/word/2010/wordml" w14:paraId="3E8A109A"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cerrar este sexto movimiento señalando que la articulación entre soberanía nacional y derecho natural común aquí defendida no es una posición original de este ensayo, sino la recuperación consciente de una tradición jurídico-filosófica específicamente hispánica que, paradójicamente, ha sido con frecuencia atribuida en exclusiva al pensamiento jurídico angloamericano o a la tradición westfaliana moderna del derecho internacional, ignorando que fueron precisamente los teólogos-juristas españoles del Siglo de Oro, ya examinados mediante Vitoria y Suárez en la subsección segunda de esta sección, quienes articularon por primera vez, con el rigor escolástico heredado de Tomás de Aquino, los principios fundamentales de la soberanía estatal moderna y del derecho internacional como orden compatible con la pluralidad de naciones. Recuperar explícitamente esta genealogía hispánica del derecho internacional constituye, para la UNC, no solo un ejercicio de precisión histórica, sino una afirmación doctrinal de que la articulación entre causa final católica y orden internacional plural que este ensayo defiende no es una importación extranjera ni una construcción ad hoc, sino la actualización, en el contexto colombiano contemporáneo, de una tradición intelectual propiamente hispánica que precedió en varios siglos a las formulaciones seculares posteriores del derecho internacional moderno.</w:t>
      </w:r>
    </w:p>
    <w:p xmlns:wp14="http://schemas.microsoft.com/office/word/2010/wordml" w14:paraId="400FBA3C" wp14:textId="77777777">
      <w:pPr>
        <w:pStyle w:val="Heading1"/>
      </w:pPr>
      <w:r w:rsidRPr="3F523891" w:rsidR="3F523891">
        <w:rPr>
          <w:lang w:val="en-US"/>
        </w:rPr>
        <w:t>7. Precedentes históricos de restauración nacional-católica</w:t>
      </w:r>
    </w:p>
    <w:p xmlns:wp14="http://schemas.microsoft.com/office/word/2010/wordml" w14:paraId="44886EAC"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Las seis secciones precedentes han desarrollado, en el plano propiamente filosófico, el marco metafísico que sostiene el proyecto restaurador de la UNC. Corresponde ahora, antes de cerrar este adelanto, examinar si ese marco encuentra algún precedente histórico concreto que permita evaluar su viabilidad práctica, más allá de su coherencia puramente conceptual. Ningún argumento filosófico, por riguroso que sea, sustituye a la prueba de la historia; y la historia del siglo XX, en particular, ofrece varios casos de procesos restauradores que, con sus diferencias notables entre sí, comparten algunos elementos estructurales con el programa aquí defendido.</w:t>
      </w:r>
    </w:p>
    <w:p xmlns:wp14="http://schemas.microsoft.com/office/word/2010/wordml" w14:paraId="687CE8D0" wp14:textId="77777777">
      <w:pPr>
        <w:pStyle w:val="Heading2"/>
      </w:pPr>
      <w:r w:rsidRPr="3F523891" w:rsidR="3F523891">
        <w:rPr>
          <w:lang w:val="en-US"/>
        </w:rPr>
        <w:t>7.1 El caso español: nacional-catolicismo y reconstrucción del Estado</w:t>
      </w:r>
    </w:p>
    <w:p xmlns:wp14="http://schemas.microsoft.com/office/word/2010/wordml" w14:paraId="7E6760E5"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caso más cercano, por razones evidentes de lengua, religión y tradición jurídica compartida, es el del régimen instaurado en España tras la guerra civil de 1936 a 1939. El llamado nacional-catolicismo español constituyó, en sus propios términos doctrinales, un intento deliberado de fundar el nuevo Estado sobre la articulación entre causa material (la unidad de la nación española, incluyendo la cuestión de sus regiones históricas), causa formal (la lengua y la cultura castellanas como eje vertebrador, sin perjuicio de los reconocimientos posteriores a las lenguas regionales) y causa final (la fe católica como fundamento explícito del orden político, consagrada en el propio Concordato de 1953 con la Santa Sede).</w:t>
      </w:r>
    </w:p>
    <w:p xmlns:wp14="http://schemas.microsoft.com/office/word/2010/wordml" w14:paraId="1658601A"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examinar este caso con el mismo rigor crítico que se ha aplicado a lo largo de todo el ensayo, evitando tanto la condena indiscriminada que el progresismo contemporáneo suele aplicarle sin distinciones, como la apología acrítica que ciertos sectores nacionalistas tienden a hacer de él. El régimen español logró, en efecto, una notable estabilidad institucional de varias décadas, fundada precisamente en esa articulación de causas que este ensayo defiende como modelo general; pero esa misma articulación, llevada en la práctica a una excesiva centralización administrativa y a una represión política que excedió, en ciertos períodos, los límites que el propio derecho natural clásico de Vitoria y Suárez —examinado en la sección sexta— exigiría incluso frente a una restauración legítima, ofrece también una advertencia sobre los riesgos de instrumentalizar la causa final religiosa al servicio exclusivo de la causa eficiente del poder político concreto, sin el contrapeso crítico que la propia tradición católica, en su mejor versión, debería proveer frente a los abusos del poder temporal.</w:t>
      </w:r>
    </w:p>
    <w:p xmlns:wp14="http://schemas.microsoft.com/office/word/2010/wordml" w14:paraId="18A6A66C"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caso español ofrece, además, una lección programática directa para la UNC: la transición posterior, ya bajo la monarquía constitucional restaurada, mostró que un proceso de apertura política gradual y ordenada, lejos de disolver necesariamente el sustrato católico-cultural de la nación española, pudo convivir con él durante varias décadas adicionales, aunque ese sustrato se haya visto posteriormente erosionado por las mismas corrientes secularizadoras que hemos identificado en el contexto colombiano. Esto sugiere que la restauración del ethos nacional no es, necesariamente, incompatible con formas políticas más abiertas que las del régimen de 1939, siempre que la causa formal y final se mantenga efectivamente activa en la sociedad civil y no dependa exclusivamente del aparato estatal para su transmisión generacional.</w:t>
      </w:r>
    </w:p>
    <w:p xmlns:wp14="http://schemas.microsoft.com/office/word/2010/wordml" w14:paraId="692E19DF" wp14:textId="77777777">
      <w:pPr>
        <w:pStyle w:val="Heading2"/>
      </w:pPr>
      <w:r w:rsidRPr="3F523891" w:rsidR="3F523891">
        <w:rPr>
          <w:lang w:val="en-US"/>
        </w:rPr>
        <w:t>7.2 El caso polaco: la Iglesia como agente de resistencia nacional frente al comunismo</w:t>
      </w:r>
    </w:p>
    <w:p xmlns:wp14="http://schemas.microsoft.com/office/word/2010/wordml" w14:paraId="24EC12B2"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Un segundo caso, distinto en su mecánica histórica del español pero igualmente relevante para nuestro argumento, es el de Polonia bajo el dominio comunista impuesto tras la Segunda Guerra Mundial. A diferencia de España, donde la restauración del orden católico-tradicional se produjo mediante una guerra civil y la posterior instauración de un nuevo Estado, el caso polaco muestra cómo la Iglesia católica pudo funcionar, durante décadas, como el principal agente de causa formal y final capaz de preservar la identidad nacional polaca frente a un régimen que, conforme a la corrupción marxista analizada en la sección tercera de este ensayo, pretendía sustituir esa identidad por una causa final internacionalista impuesta desde el exterior por la potencia soviética ocupante.</w:t>
      </w:r>
    </w:p>
    <w:p xmlns:wp14="http://schemas.microsoft.com/office/word/2010/wordml" w14:paraId="6C090254"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papel desempeñado por la Iglesia polaca, y de modo culminante por el papado de Juan Pablo II a partir de 1978, demuestra empíricamente la tesis schmittiana desarrollada en la sección segunda de este ensayo: la capacidad representativa única de la institución católica, capaz de encarnar visiblemente una identidad nacional incluso en condiciones de ocupación política hostil y sin disponer, a diferencia del caso español, de un aparato estatal propio que sostuviera esa identidad. El movimiento Solidaridad, surgido en los astilleros de Gdansk en 1980, articuló de modo ejemplar la convergencia entre causa material (los trabajadores polacos concretos), causa formal (la cultura e historia nacional polaca) y causa final (la fe católica, sostenida institucionalmente por la Iglesia y simbólicamente por la figura papal), produciendo finalmente, hacia 1989, el colapso del régimen impuesto.</w:t>
      </w:r>
    </w:p>
    <w:p xmlns:wp14="http://schemas.microsoft.com/office/word/2010/wordml" w14:paraId="3A27E39B"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Este caso resulta doctrinalmente valioso para la UNC precisamente porque muestra que la restauración del ethos nacional no depende necesariamente, como podría sugerir una lectura apresurada del caso español, del control previo del aparato estatal mediante la causa eficiente militar u organizativa; puede surgir también, en condiciones de adversidad política extrema, de la causa formal y final cultural-religiosa actuando desde la sociedad civil, cuando esta logra sostenerse con suficiente coherencia institucional —en este caso, eclesial— frente a la presión disolvente del poder político hostil. Esta lección resulta directamente aplicable al contexto colombiano actual, en el cual la UNC no dispone, evidentemente, del control del aparato estatal, y debe por tanto privilegiar, en la fase presente de su desarrollo, precisamente esta vía de causa formal y final operando desde la sociedad civil, conforme a lo ya esbozado en el nivel de la causa formal examinado en la sección quinta.</w:t>
      </w:r>
    </w:p>
    <w:p xmlns:wp14="http://schemas.microsoft.com/office/word/2010/wordml" w14:paraId="74610123" wp14:textId="77777777">
      <w:pPr>
        <w:pStyle w:val="Heading2"/>
      </w:pPr>
      <w:r w:rsidRPr="3F523891" w:rsidR="3F523891">
        <w:rPr>
          <w:lang w:val="en-US"/>
        </w:rPr>
        <w:t>7.3 Lecciones comparadas para el proyecto restaurador colombiano</w:t>
      </w:r>
    </w:p>
    <w:p xmlns:wp14="http://schemas.microsoft.com/office/word/2010/wordml" w14:paraId="7687D82E"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De la comparación entre estos dos casos —el español y el polaco— se desprenden tres lecciones convergentes que conviene sistematizar antes de cerrar este séptimo movimiento. En primer lugar, ningún caso de restauración nacional exitosa y duradera ha prescindido por completo de alguna de las cuatro causas examinadas en la sección cuarta de este ensayo; el caso que descuidó en mayor medida el equilibrio entre causa eficiente y derecho natural —el español, en ciertos períodos de su historia posterior a 1939— mostró, con el paso del tiempo, mayor fragilidad institucional que el caso polaco, donde las cuatro causas operaron de modo más equilibrado, aunque en condiciones políticas adversas.</w:t>
      </w:r>
    </w:p>
    <w:p xmlns:wp14="http://schemas.microsoft.com/office/word/2010/wordml" w14:paraId="56BCA799"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segundo lugar, la comparación muestra que la causa eficiente organizativa puede adoptar formas históricas muy diversas —el aparato estatal en el caso español, la institución eclesial y el movimiento sindical en el caso polaco— sin que ninguna de estas formas sea, en sí misma, necesaria o suficiente; lo decisivo es que exista, en cada caso, un agente organizado capaz de sostener la causa formal y final frente a las fuerzas disolventes, sea ese agente el Estado o la Iglesia, o, como es más probable en el caso colombiano presente, una organización política de cuadros como la propia UNC, actuando inicialmente desde la sociedad civil conforme al modelo polaco antes que conforme al modelo estatal español.</w:t>
      </w:r>
    </w:p>
    <w:p xmlns:wp14="http://schemas.microsoft.com/office/word/2010/wordml" w14:paraId="197604B9"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tercer lugar, y quizás la lección más importante para nuestro presente programático, ambos casos muestran que la restauración nacional-católica no es una abstracción teórica sin instanciación histórica posible, sino un fenómeno políticamente realizable en condiciones históricas muy diversas, lo cual confirma, en el plano empírico, la viabilidad práctica del marco metafísico desarrollado en las secciones precedentes de este ensayo. Queda para la versión definitiva del documento el examen adicional de casos más recientes y de menor escala, así como un análisis comparado más detallado de los errores específicos cometidos en cada proceso restaurador examinado, a fin de que el programa de la UNC pueda aprender de ellos sin reproducir mecánicamente sus limitaciones.</w:t>
      </w:r>
    </w:p>
    <w:p xmlns:wp14="http://schemas.microsoft.com/office/word/2010/wordml" w14:paraId="3111A806" wp14:textId="77777777">
      <w:pPr>
        <w:pStyle w:val="Heading1"/>
      </w:pPr>
      <w:r w:rsidRPr="3F523891" w:rsidR="3F523891">
        <w:rPr>
          <w:lang w:val="en-US"/>
        </w:rPr>
        <w:t>8. Objeciones y réplicas: consolidación dialéctica del argumento</w:t>
      </w:r>
    </w:p>
    <w:p xmlns:wp14="http://schemas.microsoft.com/office/word/2010/wordml" w14:paraId="22013CB2"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antes de cerrar este adelanto extenso, someter el edificio argumentativo construido en las siete secciones precedentes a las objeciones más fuertes que un interlocutor honesto y filosóficamente competente podría plantearle, no para debilitarlo sino, al contrario, para mostrar que resiste el escrutinio crítico riguroso, que es precisamente la prueba a la que toda doctrina que pretenda servir de fundamento a la acción política debe sometida antes de ser adoptada como tal por una organización seria como la UNC.</w:t>
      </w:r>
    </w:p>
    <w:p xmlns:wp14="http://schemas.microsoft.com/office/word/2010/wordml" w14:paraId="70485F98" wp14:textId="77777777">
      <w:pPr>
        <w:pStyle w:val="Heading2"/>
      </w:pPr>
      <w:r w:rsidRPr="3F523891" w:rsidR="3F523891">
        <w:rPr>
          <w:lang w:val="en-US"/>
        </w:rPr>
        <w:t>8.1 Primera objeción: el riesgo de petición de principio en la elección del marco aristotélico-tomista</w:t>
      </w:r>
    </w:p>
    <w:p xmlns:wp14="http://schemas.microsoft.com/office/word/2010/wordml" w14:paraId="7238EDC3"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Podría objetarse, en primer lugar, que la elección misma del aparato aristotélico-tomista de las cuatro causas como marco interpretativo de la nación constituye una petición de principio: se elige, de entrada, un marco metafísico de origen cristiano para luego concluir, como por arte de magia, que la causa final de la nación colombiana debe ser cristiana. ¿No estaría el argumento presuponiendo en sus premisas precisamente lo que pretende demostrar en su conclusión?</w:t>
      </w:r>
    </w:p>
    <w:p xmlns:wp14="http://schemas.microsoft.com/office/word/2010/wordml" w14:paraId="1C9C07EC"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 respuesta a esta objeción debe distinguir cuidadosamente entre dos afirmaciones que el argumento no confunde, aunque la objeción las presente como si lo hiciera. La primera afirmación es que el esquema de las cuatro causas constituye un instrumento conceptual válido para analizar cualquier realidad compuesta, nación incluida, con independencia de cuál resulte ser, en cada caso particular, el contenido específico de su causa final. Esta afirmación no presupone nada sobre el contenido católico de esa causa final; es, en principio, aplicable también para analizar, por ejemplo, una nación cuya causa final fuese explícitamente secular, o budista, o de cualquier otro contenido, sin que el esquema mismo prejuzgue cuál de esos contenidos resulta correcto.</w:t>
      </w:r>
    </w:p>
    <w:p xmlns:wp14="http://schemas.microsoft.com/office/word/2010/wordml" w14:paraId="774291B8"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 segunda afirmación, distinta de la primera, es que, examinada la historia concreta de Colombia mediante ese instrumento conceptual neutral, el contenido específico que de hecho ha ocupado la posición de causa final a lo largo de su formación histórica ha sido, predominantemente, el católico, conforme se argumentó extensamente en las secciones segunda y tercera mediante evidencia histórica concreta —el papel de la Iglesia en la formación cultural colonial, la persistencia de la identidad católica frente a las corrupciones liberal, marxista y protestante examinadas. Esta segunda afirmación es empírica e histórica, no una deducción automática del marco conceptual aristotélico-tomista; el marco permite formular la pregunta con precisión, pero la respuesta a esa pregunta —que la causa final histórica de Colombia es católica— se sostiene mediante evidencia histórica independiente, no mediante mera definición. La objeción de petición de principio, por tanto, confunde la neutralidad del instrumento analítico con el contenido sustantivo de la conclusión histórica, que es independientemente argumentado.</w:t>
      </w:r>
    </w:p>
    <w:p xmlns:wp14="http://schemas.microsoft.com/office/word/2010/wordml" w14:paraId="1E3F01BF" wp14:textId="77777777">
      <w:pPr>
        <w:pStyle w:val="Heading2"/>
      </w:pPr>
      <w:r w:rsidRPr="3F523891" w:rsidR="3F523891">
        <w:rPr>
          <w:lang w:val="en-US"/>
        </w:rPr>
        <w:t>8.2 Segunda objeción: el problema del pluralismo religioso interno colombiano</w:t>
      </w:r>
    </w:p>
    <w:p xmlns:wp14="http://schemas.microsoft.com/office/word/2010/wordml" w14:paraId="178FFC08"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Una segunda objeción, de mayor peso práctico inmediato, señala que Colombia, en su composición religiosa actual, ya no es una nación homogéneamente católica: el crecimiento del protestantismo evangélico examinado en la sección tercera, junto con un sector creciente de población no religiosa o de otras confesiones, plantea la pregunta de si insistir en el catolicismo como causa final exclusiva de la nación no equivaldría a excluir, de facto, a una porción demográficamente significativa de colombianos de la plena pertenencia nacional, en contradicción con el principio mismo, defendido en la sección segunda, de que la respuesta a la decadencia moral de una nación debe ser la reforma inclusiva, no el desarraigo o la exclusión de sus propios miembros.</w:t>
      </w:r>
    </w:p>
    <w:p xmlns:wp14="http://schemas.microsoft.com/office/word/2010/wordml" w14:paraId="656851F6"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objeción merece una respuesta cuidadosa, que distinga entre la causa final propiamente metafísica de la nación —que este ensayo sostiene es católica en virtud de su formación histórica, conforme a lo argumentado en la sección segunda mediante la doctrina schmittiana de la representación— y el tratamiento político concreto que corresponde a los colombianos que, por razones diversas, no profesan actualmente esa fe. El argumento desarrollado en este ensayo no implica, en ningún momento, que los colombianos protestantes o no religiosos deban ser tratados como ciudadanos de segunda clase o excluidos de la plena participación política; implica, más bien, que el horizonte civilizatorio público de la nación —sus símbolos, su memoria histórica oficial, la orientación general de sus instituciones culturales y educativas— debe reflejar la causa final que históricamente ha constituido a la nación, sin que ello suponga coacción religiosa sobre la conciencia individual de cada ciudadano, distinción que la propia tradición tomista, mediante la diferencia clásica entre el fuero interno de la conciencia y el orden público externo, permite sostener con precisión.</w:t>
      </w:r>
    </w:p>
    <w:p xmlns:wp14="http://schemas.microsoft.com/office/word/2010/wordml" w14:paraId="1B4B09FC"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añadir que la corrupción protestante identificada en la sección tercera de este ensayo no se refiere al protestantismo como opción de conciencia individual legítima dentro del orden plural que la propia doctrina católica reconoce, sino específicamente al efecto estructural de fragmentación de la capacidad representativa nacional que esa corriente produce cuando se convierte en fuerza disolvente de la identidad colectiva pública, distinción que la versión definitiva del ensayo deberá articular con mayor precisión todavía, a fin de evitar cualquier lectura que confunda la crítica estructural aquí desarrollada con una descalificación personal de los colombianos protestantes como ciudadanos o como creyentes.</w:t>
      </w:r>
    </w:p>
    <w:p xmlns:wp14="http://schemas.microsoft.com/office/word/2010/wordml" w14:paraId="09E65B3B" wp14:textId="77777777">
      <w:pPr>
        <w:pStyle w:val="Heading2"/>
      </w:pPr>
      <w:r w:rsidRPr="3F523891" w:rsidR="3F523891">
        <w:rPr>
          <w:lang w:val="en-US"/>
        </w:rPr>
        <w:t>8.3 Tercera objeción: la acusación de nostalgia reaccionaria sin programa de futuro</w:t>
      </w:r>
    </w:p>
    <w:p xmlns:wp14="http://schemas.microsoft.com/office/word/2010/wordml" w14:paraId="6F1BC8C1"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Una tercera objeción, de tipo más bien político que estrictamente filosófico, sostendría que todo el programa aquí defendido es, en el fondo, un ejercicio de nostalgia reaccionaria por un pasado colonial o republicano temprano irrecuperable, incapaz de ofrecer una visión de futuro genuinamente atractiva para las nuevas generaciones colombianas, formadas ya en un contexto cultural muy distinto del que este ensayo añora restaurar.</w:t>
      </w:r>
    </w:p>
    <w:p xmlns:wp14="http://schemas.microsoft.com/office/word/2010/wordml" w14:paraId="61A94785"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objeción yerra, sin embargo, al confundir la restauración del ethos tradicional, tal como se ha defendido a lo largo de este ensayo mediante la analogía familiar desarrollada en la sección segunda, con un simple retorno literal a las formas institucionales del pasado. La distinción aristotélico-tomista entre sustancia y accidente, desarrollada extensamente en la sección tercera mediante la doctrina de la privatio boni, permite precisamente evitar esta confusión: lo que se propone restaurar no son las formas jurídicas o institucionales accidentales del pasado colonial o republicano temprano —que pueden y deben adaptarse a las circunstancias del presente—, sino la causa final sustancial que esas formas, en su momento histórico, supieron encarnar adecuadamente. Un programa que articule esa causa final católica mediante instituciones, lenguajes y formas culturales plenamente contemporáneas —medios digitales, formatos educativos modernos, organización política adaptada a las condiciones del siglo XXI— no es, en ningún sentido relevante, una nostalgia reaccionaria, sino precisamente la aplicación consecuente del principio de reforma sustancial sin desarraigo que este ensayo ha defendido desde su segunda sección.</w:t>
      </w:r>
    </w:p>
    <w:p xmlns:wp14="http://schemas.microsoft.com/office/word/2010/wordml" w14:paraId="3504C033"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 acusación de carecer de visión de futuro, por su parte, queda respondida directamente por el programa desarrollado en la sección quinta de este ensayo: lejos de proponer un simple regreso al pasado, ese programa articula una acción política orientada hacia el futuro en sus cuatro niveles causales, con tareas concretas de formación, organización y restauración cultural que, precisamente por estar fundadas en una causa final estable y trascendente, ofrecen un horizonte de sentido más sólido y duradero que el presentismo desarraigado que caracteriza, según el diagnóstico desarrollado en la sección primera mediante Scruton, a buena parte de la oferta política contemporánea dirigida a las nuevas generaciones.</w:t>
      </w:r>
    </w:p>
    <w:p xmlns:wp14="http://schemas.microsoft.com/office/word/2010/wordml" w14:paraId="31268B21" wp14:textId="77777777">
      <w:pPr>
        <w:pStyle w:val="Heading2"/>
      </w:pPr>
      <w:r w:rsidRPr="3F523891" w:rsidR="3F523891">
        <w:rPr>
          <w:lang w:val="en-US"/>
        </w:rPr>
        <w:t>8.4 Cuarta objeción: el riesgo de instrumentalización política de la fe</w:t>
      </w:r>
    </w:p>
    <w:p xmlns:wp14="http://schemas.microsoft.com/office/word/2010/wordml" w14:paraId="2313C1D0"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Una cuarta objeción, de naturaleza propiamente teológica antes que política, podría plantearse desde el interior mismo de la tradición católica que este ensayo defiende: ¿no corre el proyecto aquí articulado el riesgo de instrumentalizar la fe católica al servicio de un proyecto político particular, subordinando lo trascendente a lo temporal en una inversión exactamente contraria al orden de causas que el propio ensayo ha defendido, donde la causa final debería ordenar a la causa eficiente y no a la inversa? Esta objeción recoge una preocupación legítima que la propia historia de la Iglesia ha enfrentado repetidamente, desde las tensiones medievales entre el poder espiritual y el temporal hasta las advertencias contemporáneas del magisterio eclesial contra cualquier forma de nacionalismo que pretenda subordinar la universalidad de la fe católica a un proyecto étnico o nacional particular.</w:t>
      </w:r>
    </w:p>
    <w:p xmlns:wp14="http://schemas.microsoft.com/office/word/2010/wordml" w14:paraId="12CBB6D6"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 respuesta a esta objeción exige una distinción cuidadosa que el presente ensayo, en sus secciones precedentes, ha intentado mantener sin siempre explicitarla suficientemente: el proyecto de la UNC no pretende que la Iglesia católica se subordine a la nación colombiana ni a la organización política aquí defendida, sino exactamente lo contrario, conforme al orden de causas explícitamente defendido en la sección cuarta: que la nación colombiana, en su causa formal y en su acción política eficiente, se subordine a la causa final que la fe católica provee, reconociendo la prioridad y la autonomía propia de lo espiritual sobre lo temporal que la propia tradición católica, desde Agustín hasta el magisterio contemporáneo, ha defendido consistentemente. Esto implica que la UNC, en cuanto organización política, debe reconocer expresamente que su autoridad doctrinal en materia estrictamente religiosa es subordinada, no paralela ni superior, a la autoridad eclesial legítima, y que su proyecto político debe entenderse como un servicio a la causa final católica desde el ámbito propio de lo temporal, nunca como una apropiación o instrumentalización de esa causa final para fines puramente políticos que excedan o distorsionen su contenido doctrinal propiamente dicho. Esta distinción, que la versión definitiva del ensayo deberá desarrollar con mayor precisión teológica todavía, constituye una salvaguarda indispensable frente al riesgo, real y advertido por la propia tradición católica, de que cualquier proyecto nacionalista termine convirtiendo la fe en mero instrumento legitimador de fines que le son, en última instancia, ajenos.</w:t>
      </w:r>
    </w:p>
    <w:p xmlns:wp14="http://schemas.microsoft.com/office/word/2010/wordml" w14:paraId="2A7CB243" wp14:textId="77777777">
      <w:pPr>
        <w:pStyle w:val="Heading1"/>
      </w:pPr>
      <w:r w:rsidRPr="3F523891" w:rsidR="3F523891">
        <w:rPr>
          <w:lang w:val="en-US"/>
        </w:rPr>
        <w:t>9. La educación como campo decisivo de la causa formal</w:t>
      </w:r>
    </w:p>
    <w:p xmlns:wp14="http://schemas.microsoft.com/office/word/2010/wordml" w14:paraId="425937FB"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programa desarrollado en la sección quinta de este ensayo mencionó, en su nivel correspondiente a la causa formal, la necesidad de un trabajo educativo sostenido como instrumento de restauración cultural, sin desarrollar con el detalle suficiente las razones filosóficas profundas de por qué la educación ocupa, dentro de todo el edificio argumentativo construido en este ensayo, un lugar decisivo y no meramente instrumental. Esta novena sección busca subsanar esa insuficiencia, examinando la educación no como una herramienta más entre otras del programa de la UNC, sino como el campo en el cual se decide, generación tras generación, si la causa formal y final aquí defendidas logran efectivamente transmitirse o se extinguen.</w:t>
      </w:r>
    </w:p>
    <w:p xmlns:wp14="http://schemas.microsoft.com/office/word/2010/wordml" w14:paraId="01DFACED" wp14:textId="77777777">
      <w:pPr>
        <w:pStyle w:val="Heading2"/>
      </w:pPr>
      <w:r w:rsidRPr="3F523891" w:rsidR="3F523891">
        <w:rPr>
          <w:lang w:val="en-US"/>
        </w:rPr>
        <w:t>9.1 La transmisión generacional como problema metafísico, no solo pedagógico</w:t>
      </w:r>
    </w:p>
    <w:p xmlns:wp14="http://schemas.microsoft.com/office/word/2010/wordml" w14:paraId="622D5EBD"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comenzar señalando que el problema de la transmisión generacional de la identidad nacional no es, en su raíz, un problema meramente técnico-pedagógico, sino un problema directamente derivado del esquema de las cuatro causas desarrollado en la sección cuarta de este ensayo. Si la causa formal de la nación —su cultura, su memoria histórica, su identidad religiosa— no es algo que se transmita automáticamente por herencia biológica, a diferencia de la causa material examinada en esa misma sección, entonces requiere necesariamente de un proceso activo de transmisión entre generaciones que, si se interrumpe o se distorsiona, produce inevitablemente la desfiguración de la nación que la sección tercera de este ensayo ha analizado mediante la doctrina de la privatio boni.</w:t>
      </w:r>
    </w:p>
    <w:p xmlns:wp14="http://schemas.microsoft.com/office/word/2010/wordml" w14:paraId="339A23A1"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Esto explica por qué las tres corrupciones identificadas en la sección tercera —la liberal fundadora, la marxista revolucionaria, la protestante reciente— han operado, en todos los casos, mediante una disputa explícita por el control del aparato educativo, ya sea estatal o eclesial: quien controla la transmisión generacional de la causa formal controla, en un sentido muy real, el destino futuro de la causa final de la nación, pues una generación que no recibe adecuadamente esa causa formal sencillamente no podrá, llegado el momento, sostener ni siquiera comprender la causa final que las generaciones anteriores le habían encomendado custodiar. El marxismo cultural mencionado en la sección tercera respecto de su infiltración en el sistema educativo colombiano constituye, precisamente, un ejemplo paradigmático de esta disputa por el control de la causa formal mediante el control del aparato educativo.</w:t>
      </w:r>
    </w:p>
    <w:p xmlns:wp14="http://schemas.microsoft.com/office/word/2010/wordml" w14:paraId="430D2F11"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precisar, además, que este problema de la transmisión generacional no es exclusivo del contexto colombiano ni del momento histórico presente, sino una constante estructural de toda comunidad política que aspire a sostenerse más allá de una sola generación. Ya Aristóteles, en su examen de las constituciones políticas recogido en la Política, advertía que ningún régimen, por excelente que fuese su diseño institucional originario, podía sostenerse indefinidamente sin una educación de los ciudadanos adecuada a sus principios constitutivos, pues las instituciones por sí solas, desprovistas de ciudadanos formados en el ethos que las sostiene, degeneran inevitablemente hacia formas corruptas de gobierno. Esta intuición aristotélica, que el presente ensayo no ha tenido ocasión de desarrollar en las secciones precedentes pero que resulta plenamente coherente con el aparato de las cuatro causas allí expuesto, confirma que la causa formal de cualquier comunidad política —su cultura, sus principios constitutivos— requiere, para perdurar, una causa eficiente educativa específicamente dedicada a su transmisión continua, sin la cual incluso la causa final mejor articulada en el plano doctrinal corre el riesgo de extinguirse en el espacio de apenas dos o tres generaciones.</w:t>
      </w:r>
    </w:p>
    <w:p xmlns:wp14="http://schemas.microsoft.com/office/word/2010/wordml" w14:paraId="65EBEBF2" wp14:textId="77777777">
      <w:pPr>
        <w:pStyle w:val="Heading2"/>
      </w:pPr>
      <w:r w:rsidRPr="3F523891" w:rsidR="3F523891">
        <w:rPr>
          <w:lang w:val="en-US"/>
        </w:rPr>
        <w:t>9.2 El modelo escolástico medieval como precedente institucional</w:t>
      </w:r>
    </w:p>
    <w:p xmlns:wp14="http://schemas.microsoft.com/office/word/2010/wordml" w14:paraId="0691AA48"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Resulta filosóficamente fecundo, antes de proponer el programa educativo concreto de la UNC, examinar el precedente institucional que la propia tradición católica desarrolló de modo paradigmático durante la Baja Edad Media: el modelo escolástico de las universidades medievales, surgidas precisamente bajo tutela eclesiástica en ciudades como París, Bolonia y Salamanca, y que combinaron de modo ejemplar la transmisión de un currículo riguroso —las artes liberales del trivium y el quadrivium, seguidas de las facultades superiores de teología, derecho y medicina— con una causa final explícitamente orientada hacia la verdad trascendente, sin que ello supusiera, como erróneamente suele presentarse en ciertas narrativas progresistas sobre la Edad Media, un obstáculo para el desarrollo del rigor lógico y científico, del cual la propia obra de Tomás de Aquino, ya citada extensamente en la sección tercera de este ensayo, constituye testimonio elocuente.</w:t>
      </w:r>
    </w:p>
    <w:p xmlns:wp14="http://schemas.microsoft.com/office/word/2010/wordml" w14:paraId="29395FA0"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modelo universitario medieval ofrece, para los propósitos programáticos de la UNC, una lección estructural precisa: es posible articular, sin contradicción alguna, un currículo de máximo rigor intelectual con una causa final explícitamente religiosa, desmintiendo así la presuposición, hoy dominante en buena parte del sistema universitario colombiano y latinoamericano, de que la objetividad académica exige necesariamente la neutralidad religiosa o, en su versión más radical, la hostilidad activa hacia cualquier marco religioso de referencia. La universidad medieval, antes de su posterior secularización progresiva a partir del Renacimiento y la Ilustración, demuestra que el rigor académico y la causa final trascendente no son, en absoluto, incompatibles, sino que pueden reforzarse mutuamente cuando la institución educativa logra articular ambas dimensiones con la coherencia que el propio Tomás de Aquino encarnó en su obra y en su magisterio universitario parisino.</w:t>
      </w:r>
    </w:p>
    <w:p xmlns:wp14="http://schemas.microsoft.com/office/word/2010/wordml" w14:paraId="5E083029" wp14:textId="77777777">
      <w:pPr>
        <w:pStyle w:val="Heading2"/>
      </w:pPr>
      <w:r w:rsidRPr="3F523891" w:rsidR="3F523891">
        <w:rPr>
          <w:lang w:val="en-US"/>
        </w:rPr>
        <w:t>9.3 El doble frente educativo colombiano: secundaria y universidad</w:t>
      </w:r>
    </w:p>
    <w:p xmlns:wp14="http://schemas.microsoft.com/office/word/2010/wordml" w14:paraId="4C0A426C"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contexto educativo colombiano contemporáneo presenta, para los propósitos del programa de la UNC, dos frentes de acción claramente distinguibles, que requieren estrategias específicas adaptadas a cada uno. El primer frente es el de la educación secundaria, donde la formación del carácter y la primera exposición sistemática a la historia nacional y a los marcos morales fundamentales tiene lugar en una etapa de la vida especialmente receptiva a la consolidación de lealtades identitarias profundas, conforme a lo argumentado en la sección primera de este ensayo respecto de la oikofilia scrutoniana como necesidad humana que se forma tempranamente. La representación estudiantil dentro de las instituciones de educación secundaria constituye, en este sentido, un espacio de incidencia directa que no debe subestimarse, pues permite incidir sobre el clima cultural de la institución incluso antes de que el sistema universitario complete su propia labor formativa, frecuentemente ya condicionada, como se ha señalado, por las corrientes ideológicas dominantes en buena parte de la academia contemporánea.</w:t>
      </w:r>
    </w:p>
    <w:p xmlns:wp14="http://schemas.microsoft.com/office/word/2010/wordml" w14:paraId="07EC4AB1"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segundo frente es el propiamente universitario, donde la disputa por la causa formal adquiere un carácter más explícitamente doctrinal e ideológico, dado que es en este nivel donde las corrientes constructivistas, marxistas y progresistas examinadas en las secciones primera y tercera de este ensayo logran, con mayor frecuencia, una hegemonía discursiva casi completa sobre la formación de las futuras élites profesionales y políticas del país. La representación estudiantil universitaria, en este segundo frente, exige una sofisticación argumentativa mayor que la requerida en el nivel secundario, precisamente porque debe enfrentar directamente, en el terreno mismo de la discusión académica especializada, las posiciones constructivistas y marxistas que dominan buena parte de los programas de ciencias sociales y humanidades en las universidades colombianas contemporáneas. La doble inserción institucional que la UNC ya posee actualmente en ambos niveles —secundario y universitario— constituye, en este sentido, una ventaja estructural poco común que el presente ensayo recomienda explotar deliberadamente como eje central del nivel de causa formal desarrollado en la sección quinta.</w:t>
      </w:r>
    </w:p>
    <w:p xmlns:wp14="http://schemas.microsoft.com/office/word/2010/wordml" w14:paraId="27D4DBAE" wp14:textId="77777777">
      <w:pPr>
        <w:pStyle w:val="Heading2"/>
      </w:pPr>
      <w:r w:rsidRPr="3F523891" w:rsidR="3F523891">
        <w:rPr>
          <w:lang w:val="en-US"/>
        </w:rPr>
        <w:t>9.4 Hacia un currículo doctrinal propio: contenidos y método</w:t>
      </w:r>
    </w:p>
    <w:p xmlns:wp14="http://schemas.microsoft.com/office/word/2010/wordml" w14:paraId="69EE6961"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De todo lo anterior se desprende la necesidad de que la UNC desarrolle, como tarea pendiente para la versión definitiva de este ensayo y de los documentos programáticos complementarios, un currículo doctrinal propio que pueda transmitirse sistemáticamente a los cuadros jóvenes de la organización, estructurado en torno a los mismos ejes argumentativos desarrollados en este ensayo: la base natural del nacionalismo examinada en la sección primera, la tipología del cemento nacional y la primacía católica examinada en la sección segunda, la doctrina de la privatio boni y el diagnóstico de las tres corrupciones examinado en la sección tercera, el esquema de las cuatro causas examinado en la sección cuarta, y las lecciones históricas comparadas examinadas en la sección séptima.</w:t>
      </w:r>
    </w:p>
    <w:p xmlns:wp14="http://schemas.microsoft.com/office/word/2010/wordml" w14:paraId="7055B686"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Este currículo debería combinar, siguiendo el precedente escolástico examinado en la subsección anterior, la lectura directa de las fuentes clásicas citadas a lo largo de todo este ensayo —desde Aristóteles y Tomás de Aquino hasta Schmitt, Donoso Cortés y Gómez Dávila— con ejercicios de aplicación práctica al contexto colombiano contemporáneo, de modo que los cuadros jóvenes de la organización no adquieran un conocimiento meramente erudito y desconectado de la acción, sino una formación que articule, exactamente conforme al esquema causal defendido en toda esta obra, la causa material de su propia condición de jóvenes colombianos concretos, la causa formal de la doctrina aquí desarrollada, la causa eficiente de su futura acción política organizada, y la causa final católica que da sentido último a todo el proyecto. Solo mediante una formación de este tipo, sistemática y filosóficamente fundada, podrá la UNC aspirar a constituirse, conforme a lo argumentado en la subsección cuarta de la sección cuarta de este ensayo, en agente eficiente capaz de disputar con seriedad el control de la causa formal de la nación colombiana frente a sus rivales ideológicos.</w:t>
      </w:r>
    </w:p>
    <w:p xmlns:wp14="http://schemas.microsoft.com/office/word/2010/wordml" w14:paraId="7A37BD2B"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precisar, finalmente, que este currículo doctrinal no debe concebirse como un cuerpo cerrado y estático de doctrina, sino como un marco abierto al desarrollo y refinamiento continuo, conforme al propio carácter de adelanto que este documento ha declarado explícitamente desde su primera página. Cada generación de cuadros jóvenes que la UNC forme deberá, en este sentido, no solo recibir pasivamente el contenido aquí articulado, sino contribuir activamente a su profundización mediante nuevas lecturas, nuevas aplicaciones al contexto colombiano cambiante, y nuevas réplicas a las objeciones que el debate público inevitablemente seguirá planteando, de modo que la doctrina de la organización se mantenga viva y capaz de responder a circunstancias históricas que ni el presente ensayo ni ningún documento doctrinal particular puede anticipar por completo.</w:t>
      </w:r>
    </w:p>
    <w:p xmlns:wp14="http://schemas.microsoft.com/office/word/2010/wordml" w14:paraId="1ABDC8C8" wp14:textId="77777777">
      <w:pPr>
        <w:pStyle w:val="Heading1"/>
      </w:pPr>
      <w:r w:rsidRPr="3F523891" w:rsidR="3F523891">
        <w:rPr>
          <w:lang w:val="en-US"/>
        </w:rPr>
        <w:t>10. Símbolo, retórica y estilo público: la causa formal hecha visible</w:t>
      </w:r>
    </w:p>
    <w:p xmlns:wp14="http://schemas.microsoft.com/office/word/2010/wordml" w14:paraId="28E55FE9"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Resta examinar, antes de cerrar definitivamente este adelanto extenso, una dimensión que las nueve secciones precedentes han presupuesto sin desarrollar explícitamente: la dimensión simbólica y retórica mediante la cual una doctrina filosóficamente articulada como la aquí expuesta se hace visible y operante en el espacio público, traduciéndose en los símbolos, el estilo retórico y la presencia pública concreta de una organización como la UNC. Esta dimensión no es accesoria respecto del edificio metafísico construido en las secciones anteriores, sino su necesaria manifestación sensible, conforme a la propia lógica de la causa formal examinada en la sección cuarta: toda forma, para operar efectivamente sobre una materia, requiere encarnarse en signos perceptibles que la hagan reconocible.</w:t>
      </w:r>
    </w:p>
    <w:p xmlns:wp14="http://schemas.microsoft.com/office/word/2010/wordml" w14:paraId="3F80C548" wp14:textId="77777777">
      <w:pPr>
        <w:pStyle w:val="Heading2"/>
      </w:pPr>
      <w:r w:rsidRPr="3F523891" w:rsidR="3F523891">
        <w:rPr>
          <w:lang w:val="en-US"/>
        </w:rPr>
        <w:t>10.1 La necesidad de lo simbólico: Schmitt revisitado</w:t>
      </w:r>
    </w:p>
    <w:p xmlns:wp14="http://schemas.microsoft.com/office/word/2010/wordml" w14:paraId="28E0C038"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retomar, en este punto final, la doctrina schmittiana de la representación ya examinada extensamente en la sección segunda de este ensayo, pues ofrece también el fundamento teórico preciso para comprender la función de lo simbólico en la vida política de una organización nacionalista. Si la Iglesia católica posee, según Schmitt, una capacidad de representación que ningún aparato puramente técnico-administrativo puede igualar, esa capacidad se manifiesta, en buena medida, precisamente a través de su rico aparato simbólico —liturgia, iconografía, arquitectura, vestimenta ritual— que hace visible y perceptible, ante los sentidos de los fieles, una realidad que de otro modo permanecería puramente abstracta e inaccesible a la experiencia ordinaria.</w:t>
      </w:r>
    </w:p>
    <w:p xmlns:wp14="http://schemas.microsoft.com/office/word/2010/wordml" w14:paraId="4A5F7CFE"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Una organización política que aspire, como la UNC, a disputar el papel de causa eficiente dominante de la nación frente a sus rivales ideológicos, conforme a lo argumentado en la subsección cuarta de la sección cuarta de este ensayo, no puede permitirse descuidar esta dimensión simbólica bajo el pretexto de que la pura argumentación filosófica, por rigurosa que sea, bastaría por sí sola para movilizar la lealtad política efectiva de sus cuadros y de la sociedad colombiana más amplia. La experiencia histórica de los movimientos políticos del siglo XX, tanto los que este ensayo ha examinado favorablemente en la sección séptima como los que ha criticado en las secciones tercera y cuarta, confirma sin excepción que ningún proyecto político de envergadura ha prescindido de un aparato simbólico cuidadosamente articulado, precisamente porque la adhesión política profunda rara vez se sostiene exclusivamente sobre el convencimiento racional discursivo, sino que requiere también el anclaje afectivo que solo el símbolo, correctamente entendido, puede proveer.</w:t>
      </w:r>
    </w:p>
    <w:p xmlns:wp14="http://schemas.microsoft.com/office/word/2010/wordml" w14:paraId="45FE1A09" wp14:textId="77777777">
      <w:pPr>
        <w:pStyle w:val="Heading2"/>
      </w:pPr>
      <w:r w:rsidRPr="3F523891" w:rsidR="3F523891">
        <w:rPr>
          <w:lang w:val="en-US"/>
        </w:rPr>
        <w:t>10.2 Criterios para un simbolismo coherente con la causa final católica</w:t>
      </w:r>
    </w:p>
    <w:p xmlns:wp14="http://schemas.microsoft.com/office/word/2010/wordml" w14:paraId="2327ABB5"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De lo anterior se desprende la necesidad de que la UNC desarrolle, en documentos complementarios al presente ensayo doctrinal, un aparato simbólico explícitamente coherente con la causa final católica defendida a lo largo de todo este trabajo, evitando dos riesgos opuestos que la propia historia del nacionalismo contemporáneo ilustra con claridad. El primer riesgo es el de un simbolismo puramente secular y administrativo —banderas, escudos y consignas desprovistos de toda referencia trascendente— que repetiría, en el plano simbólico, exactamente la insuficiencia ya señalada respecto del nacionalismo cívico en la sección segunda de este ensayo: un simbolismo sin causa final visible carece de la capacidad de movilizar la lealtad profunda que sí logra movilizar un simbolismo religiosamente anclado.</w:t>
      </w:r>
    </w:p>
    <w:p xmlns:wp14="http://schemas.microsoft.com/office/word/2010/wordml" w14:paraId="11F914CB"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segundo riesgo, igualmente real y ya advertido implícitamente en el excurso crítico de la sección cuarta sobre el evolismo y el paganismo de la Nueva Derecha, es el de un simbolismo esotérico o neopagano que pretenda recuperar referencias estéticas prehispánicas, indoeuropeas o de cualquier otro origen ajeno a la tradición católica e hispánica que este ensayo ha defendido como causa final propia de la nación colombiana, produciendo así una incoherencia entre el aparato simbólico de la organización y su doctrina filosófica sustantiva. Frente a ambos riesgos, el criterio rector debe ser la coherencia estricta entre símbolo y doctrina: cada elemento simbólico que la UNC adopte —desde su iconografía hasta el estilo retórico de sus comunicaciones públicas— debe poder justificarse, en última instancia, por referencia a alguna de las cuatro causas examinadas en la sección cuarta de este ensayo, de modo que la presencia pública de la organización constituya una manifestación sensible coherente, y no una contradicción visible, de la doctrina aquí desarrollada.</w:t>
      </w:r>
    </w:p>
    <w:p xmlns:wp14="http://schemas.microsoft.com/office/word/2010/wordml" w14:paraId="13F19242" wp14:textId="77777777">
      <w:pPr>
        <w:pStyle w:val="Heading2"/>
      </w:pPr>
      <w:r w:rsidRPr="3F523891" w:rsidR="3F523891">
        <w:rPr>
          <w:lang w:val="en-US"/>
        </w:rPr>
        <w:t>10.3 El estilo retórico combativo como expresión de la causa eficiente</w:t>
      </w:r>
    </w:p>
    <w:p xmlns:wp14="http://schemas.microsoft.com/office/word/2010/wordml" w14:paraId="17B0C21D"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añadir, finalmente, una precisión sobre el estilo retórico que corresponde a una organización que se concibe a sí misma, conforme a lo argumentado en la sección quinta y en la subsección cuarta de la sección cuarta, como agente eficiente dispuesto a disputar activamente el control de la causa formal de la nación frente a sus rivales ideológicos. Este estilo no puede ser, conforme a la distinción schmittiana entre administración técnica y decisión política ya invocada repetidamente en este ensayo, el de una organización meramente deliberativa o académica que evite el conflicto retórico directo con las corrupciones ideológicas identificadas en la sección tercera; debe ser, por el contrario, un estilo combativo y afirmativo, dispuesto a nombrar con precisión a sus adversarios doctrinales y a sostener frente a ellos, con la misma firmeza argumentativa desplegada a lo largo de todo este ensayo, las tesis aquí defendidas.</w:t>
      </w:r>
    </w:p>
    <w:p xmlns:wp14="http://schemas.microsoft.com/office/word/2010/wordml" w14:paraId="4A67AA25"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Esto no equivale, sin embargo, a una retórica meramente agresiva o desprovista de rigor intelectual; al contrario, el estilo combativo que aquí se propone debe estar siempre respaldado por la solidez argumentativa que el presente ensayo ha intentado ejemplificar en sus nueve movimientos precedentes, pues solo esa combinación de firmeza retórica y rigor filosófico permite a la UNC distinguirse tanto del activismo político sin fundamento doctrinal que la sección quinta advirtió como riesgo del nivel de causa eficiente sin causa final, como del academicismo puramente especulativo que, por su parte, corre el riesgo de no traducirse jamás en la acción política efectiva que la hora histórica colombiana, según el diagnóstico desarrollado a lo largo de todo este ensayo, efectivamente exige.</w:t>
      </w:r>
    </w:p>
    <w:p xmlns:wp14="http://schemas.microsoft.com/office/word/2010/wordml" w14:paraId="1F95B88C" wp14:textId="77777777">
      <w:pPr>
        <w:pStyle w:val="Heading2"/>
      </w:pPr>
      <w:r w:rsidRPr="3F523891" w:rsidR="3F523891">
        <w:rPr>
          <w:lang w:val="en-US"/>
        </w:rPr>
        <w:t>10.4 La esfera digital como nuevo espacio de la causa formal</w:t>
      </w:r>
    </w:p>
    <w:p xmlns:wp14="http://schemas.microsoft.com/office/word/2010/wordml" w14:paraId="5FF66165"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añadir, como precisión final a este décimo movimiento, una observación sobre el medio concreto en el cual la dimensión simbólica y retórica aquí examinada se despliega de modo predominante en las condiciones contemporáneas: la esfera digital y, en particular, las redes sociales de microblogueo y discusión pública, que han sustituido en buena medida, para las generaciones más jóvenes, el papel que la imprenta y la prensa periódica desempeñaron en el proceso de formación nacional examinado mediante Anderson en la sección primera de este ensayo. Si, como Anderson mostró, el capitalismo editorial decimonónico fue el vehículo material de la causa formal nacional en su momento histórico, las plataformas digitales contemporáneas constituyen, en un sentido estructuralmente análogo, el vehículo material privilegiado de la causa formal en el presente, con la diferencia decisiva de que su lógica algorítmica de viralización exige una densidad retórica y una capacidad de síntesis aforística distinta de la que exigía el ensayo extenso o el panfleto doctrinal tradicional.</w:t>
      </w:r>
    </w:p>
    <w:p xmlns:wp14="http://schemas.microsoft.com/office/word/2010/wordml" w14:paraId="06B3E6CB"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Esto plantea, para la UNC, un desafío específico de traducción: el contenido filosófico desarrollado extensamente en este ensayo —la doctrina de la privatio boni, el esquema de las cuatro causas, la crítica al constructivismo y al biologicismo— debe poder condensarse, sin perder su rigor sustancial, en formatos aforísticos y visualmente eficaces capaces de circular con la velocidad que la esfera digital contemporánea exige, conforme al mismo principio de coherencia entre símbolo y doctrina defendido en la subsección segunda de esta misma sección. Esta tarea de traducción aforística, que la versión definitiva del ensayo deberá abordar con mayor detalle programático, no debe entenderse como una simplificación que traicione el rigor filosófico aquí desplegado, sino como la aplicación consecuente, al medio digital contemporáneo, del mismo principio que ya sostuvieron con éxito notable autores como Gómez Dávila, cuya obra aforística, examinada en la sección segunda de este ensayo, demuestra que la máxima densidad filosófica puede convivir, sin contradicción, con la máxima brevedad expresiva.</w:t>
      </w:r>
    </w:p>
    <w:p xmlns:wp14="http://schemas.microsoft.com/office/word/2010/wordml" w14:paraId="2F7BA227"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La versión definitiva de este ensayo deberá, en consecuencia, incluir un apéndice práctico específicamente dedicado a esta tarea de traducción, que recoja, en formato de máximas breves y verificables contra el cuerpo doctrinal aquí desarrollado, las tesis centrales de cada uno de los diez movimientos argumentativos examinados: desde la afirmación de que el nacionalismo es un acto natural, hasta la defensa de la causa final católica como horizonte de sentido de la nación colombiana, pasando por el diagnóstico de las tres corrupciones identificadas en la sección tercera y el programa de acción articulado en la sección quinta. Solo mediante este doble nivel de elaboración —el ensayo extenso, filosóficamente riguroso, dirigido a la formación profunda de los cuadros dirigentes, y el repertorio aforístico derivado de él, dirigido a la circulación pública amplia— podrá la UNC cumplir simultáneamente con la exigencia de rigor intelectual defendida a lo largo de todo este documento y con la exigencia de eficacia comunicativa que la disputa política contemporánea, en el medio digital examinado en esta misma subsección, efectivamente demanda.</w:t>
      </w:r>
    </w:p>
    <w:p xmlns:wp14="http://schemas.microsoft.com/office/word/2010/wordml" w14:paraId="19FF5C40" wp14:textId="77777777">
      <w:pPr>
        <w:pStyle w:val="Heading1"/>
      </w:pPr>
      <w:r w:rsidRPr="3F523891" w:rsidR="3F523891">
        <w:rPr>
          <w:lang w:val="en-US"/>
        </w:rPr>
        <w:t>Conclusiones</w:t>
      </w:r>
    </w:p>
    <w:p xmlns:wp14="http://schemas.microsoft.com/office/word/2010/wordml" w14:paraId="72B9DDDE"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El presente adelanto ha desarrollado, en sus diez movimientos argumentativos y sus correspondientes subsecciones, un argumento sostenido que conviene recapitular con precisión antes de cerrar este documento de trabajo. En el primer movimiento se ha establecido que el nacionalismo es un acto natural, derivado de la tendencia humana a la organización jerárquica y confirmado tanto por la sociobiología de van den Berghe como por la historiografía comparada de Smith y el argumento normativo de Scruton, frente a la tesis puramente constructivista de Anderson, que resultó valiosa en el plano descriptivo pero insuficiente como explicación última del fenómeno.</w:t>
      </w:r>
    </w:p>
    <w:p xmlns:wp14="http://schemas.microsoft.com/office/word/2010/wordml" w14:paraId="1457FBC7"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el segundo movimiento se ha argumentado, mediante el análisis comparado de Brubaker y la analogía de la nación como familia extendida, que el deber ante una nación en decadencia moral no es el desarraigo sino la reforma desde dentro, y que de las tres variantes clásicas del nacionalismo —cívico, cultural y étnico— solo la variante cristiana, fundamentada en la capacidad representativa que Schmitt atribuye al catolicismo y radicalizada por Donoso Cortés y Gómez Dávila, es capaz de dar a la nación el sustrato histórico y espiritual que el nacionalismo meramente cívico no puede ofrecer por sí solo.</w:t>
      </w:r>
    </w:p>
    <w:p xmlns:wp14="http://schemas.microsoft.com/office/word/2010/wordml" w14:paraId="36089D5D"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el tercer movimiento, recurriendo a la doctrina clásica agustiniano-tomista de la privatio boni, rastreada desde la ruptura de Agustín con el maniqueísmo hasta su sistematización en la Summa Theologiae, se ha mostrado que la objeción de la «nación ontológicamente malvada» es, en rigor filosófico, un caso vacío, pues el mal carece de sustancia propia y toda nación permanece buena en su ser aun cuando se vea desfigurada por accidentes históricos o ideológicos; se identificaron y desarrollaron, para el caso colombiano específico, tres de esos accidentes desfigurantes: la ética revolucionaria liberal fundadora, la corriente revolucionaria marxista, y las tendencias protestantes recientes, mostrando además su conexión histórica interna como manifestaciones sucesivas de un mismo impulso disolvente.</w:t>
      </w:r>
    </w:p>
    <w:p xmlns:wp14="http://schemas.microsoft.com/office/word/2010/wordml" w14:paraId="419E136B"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el cuarto movimiento, mediante el esquema aristotélico-tomista de las cuatro causas, se ha resuelto el problema del etnonacionalismo puro, situando la raza como causa material legítima pero insuficiente, que requiere de la cultura como causa formal y de la fe católica junto a la conciencia histórica como causa final para alcanzar una dirección política real, evitando así tanto el biologicismo determinista como el constructivismo cívico desarraigado, y mostrando la pertinencia específica de este esquema para una nación mestiza como Colombia.</w:t>
      </w:r>
    </w:p>
    <w:p xmlns:wp14="http://schemas.microsoft.com/office/word/2010/wordml" w14:paraId="2002662D"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el quinto movimiento se ha extraído de la integración de los cuatro anteriores un programa de acción concreto para la Unión Nacionalista Colombiana, articulado en cuatro niveles correspondientes a las cuatro causas: el reconocimiento sin absolutización del dato étnico-material, la restauración cultural mediante la producción doctrinal y la formación de cuadros, la constitución de la UNC como agente eficiente capaz de sostener el conflicto político que toda restauración exige, y la subordinación de todo lo anterior a la causa final última: la recuperación del ethos católico y tradicional como horizonte de sentido de Colombia.</w:t>
      </w:r>
    </w:p>
    <w:p xmlns:wp14="http://schemas.microsoft.com/office/word/2010/wordml" w14:paraId="72AB90E6"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Queda para la versión definitiva del ensayo el desarrollo extenso de varios puntos que este adelanto solo ha podido esbozar: un examen comparado de experiencias restauradoras análogas en otros contextos hispanoamericanos, y una articulación más precisa de las etapas concretas mediante las cuales el programa de cuatro niveles aquí esbozado podría implementarse en el calendario político colombiano de los próximos años. Estas cuestiones excederán el alcance del presente documento, pero deberán ser abordadas con el mismo rigor metafísico aquí empleado, pues solo ese rigor garantiza que nuestro proyecto político no degenere en ninguna de las formas patológicas —el biologicismo, el folclorismo o el activismo sin horizonte— que este ensayo ha buscado precisamente prevenir.</w:t>
      </w:r>
    </w:p>
    <w:p xmlns:wp14="http://schemas.microsoft.com/office/word/2010/wordml" w14:paraId="7E3391C3"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el sexto movimiento, finalmente, se ha extendido el aparato de las cuatro causas desde el plano interno de la nación hacia el plano de sus relaciones con las demás naciones, mostrando, mediante el derecho natural clásico de Vitoria y Suárez y la crítica schmittiana al universalismo jurídico despolitizado, que la soberanía nacional no es un principio meramente formal sino la condición instrumental necesaria para que cada nación pueda perseguir su propia causa final sin interferencia ilegítima, y que esta defensa de la pluralidad de naciones soberanas es plenamente compatible con el reconocimiento de obligaciones morales comunes derivadas del derecho de gentes.</w:t>
      </w:r>
    </w:p>
    <w:p xmlns:wp14="http://schemas.microsoft.com/office/word/2010/wordml" w14:paraId="41469913"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el séptimo movimiento, finalmente, se ha sometido el marco metafísico desarrollado en las secciones anteriores a la prueba de la historia, examinando comparativamente los casos español y polaco de restauración nacional-católica frente a la disolución revolucionaria, y extrayendo de esa comparación tres lecciones convergentes: la necesidad de mantener las cuatro causas en equilibrio mutuo, la diversidad legítima de formas que puede adoptar la causa eficiente organizativa, y la viabilidad histórica demostrada del proyecto restaurador que este ensayo defiende en el plano puramente filosófico.</w:t>
      </w:r>
    </w:p>
    <w:p xmlns:wp14="http://schemas.microsoft.com/office/word/2010/wordml" w14:paraId="72FB5134"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el octavo movimiento de este adelanto se ha sometido todo el edificio argumentativo a cuatro objeciones de peso —la acusación de petición de principio en la elección del marco aristotélico-tomista, el problema del pluralismo religioso interno colombiano, la acusación de nostalgia reaccionaria sin programa de futuro, y el riesgo teológico de instrumentalización política de la fe— mostrando, en cada caso, que el argumento resiste el escrutinio crítico mediante distinciones ya disponibles en el propio aparato conceptual desarrollado a lo largo del ensayo: la distinción entre instrumento analítico neutral y conclusión histórica sustantiva, la distinción entre fuero interno de conciencia y orden público civilizatorio, la distinción entre sustancia a restaurar y forma accidental susceptible de actualización contemporánea, y la subordinación correcta de la causa eficiente política a la causa final religiosa que la propia tradición católica exige.</w:t>
      </w:r>
    </w:p>
    <w:p xmlns:wp14="http://schemas.microsoft.com/office/word/2010/wordml" w14:paraId="39C14089"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el noveno movimiento de este adelanto extenso se ha examinado la educación como campo decisivo, y no meramente instrumental, de la causa formal de la nación, mostrando, mediante el precedente histórico del modelo escolástico universitario medieval, que el rigor intelectual y la causa final trascendente no son incompatibles sino mutuamente reforzantes, y proponiendo, para el doble frente educativo colombiano —secundario y universitario—, las líneas generales de un currículo doctrinal propio capaz de formar a los cuadros jóvenes de la UNC conforme a la totalidad del esquema causal desarrollado en este ensayo.</w:t>
      </w:r>
    </w:p>
    <w:p xmlns:wp14="http://schemas.microsoft.com/office/word/2010/wordml" w14:paraId="4E3E06FC"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En el décimo y último movimiento de este adelanto extenso, finalmente, se ha examinado la dimensión simbólica y retórica como manifestación sensible necesaria de la causa formal desarrollada a lo largo de todo el ensayo, proponiendo, mediante la doctrina schmittiana de la representación, criterios de coherencia entre símbolo y doctrina que eviten tanto el riesgo de un simbolismo secular vacío de causa final como el riesgo de un simbolismo neopagano incoherente con la causa final católica defendida, y defendiendo, finalmente, un estilo retórico combativo y a la vez intelectualmente riguroso como expresión adecuada de la causa eficiente que la UNC aspira a constituir frente a sus rivales ideológicos, y señalando, finalmente, la esfera digital contemporánea como el nuevo vehículo material privilegiado de la causa formal nacional, que exige una tarea específica de traducción aforística del rigor filosófico aquí desplegado sin sacrificar su sustancia.</w:t>
      </w:r>
    </w:p>
    <w:p xmlns:wp14="http://schemas.microsoft.com/office/word/2010/wordml" w14:paraId="7BC071AA"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Conviene cerrar este documento de trabajo con una reflexión final sobre el método aquí empleado, más que sobre sus conclusiones particulares. El presente ensayo ha intentado demostrar que la disputa contemporánea sobre el nacionalismo —disputa que con frecuencia se presenta en términos puramente políticos o incluso emocionales, como una cuestión de simple adhesión tribal a un bando ideológico u otro— admite, y en realidad exige, un tratamiento propiamente filosófico y metafísico. La recuperación del aparato aristotélico-tomista de las cuatro causas no es, en este sentido, un ejercicio de erudición decorativa destinado a dar lustre académico a posiciones ya sostenidas por otras razones, sino el instrumento conceptual que efectivamente permite distinguir, con la precisión que el debate político ordinario rara vez alcanza, entre lo que en una nación es sustancial y lo que es accidental, entre lo que es legítimamente descriptivo y lo que ilegítimamente se pretende normativo, y entre los distintos niveles causales —material, formal, eficiente y final— que toda política nacional coherente debe necesariamente articular sin confundir.</w:t>
      </w:r>
    </w:p>
    <w:p xmlns:wp14="http://schemas.microsoft.com/office/word/2010/wordml" w14:paraId="3CC7B0F3"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Esta recuperación metafísica tiene, finalmente, una virtud política inmediata que conviene señalar explícitamente como cierre de este adelanto: permite a la Unión Nacionalista Colombiana sostener una posición doctrinalmente coherente frente a sus interlocutores, tanto los del campo progresista que niegan toda base natural al nacionalismo, como los de ciertos sectores del propio campo nacionalista internacional que, por vías distintas —el biologicismo racialista, el esoterismo evoliano, el paganismo de la Nueva Derecha—, terminan privando al nacionalismo precisamente de la causa final trascendente que, según este ensayo ha argumentado extensamente, es la única capaz de ordenar coherentemente todos los demás niveles de la identidad nacional. Frente a ambos extremos, la posición aquí defendida —un nacionalismo natural en su base, cultural en su forma, católico en su fin, y militantemente organizado en su causa eficiente— ofrece, a nuestro juicio, el único marco capaz de sostener con coherencia intelectual plena el proyecto restaurador que Colombia, en la hora presente, necesita.</w:t>
      </w:r>
    </w:p>
    <w:p xmlns:wp14="http://schemas.microsoft.com/office/word/2010/wordml" w14:paraId="4E1F9A16" wp14:textId="77777777">
      <w:pPr>
        <w:pStyle w:val="Heading1"/>
        <w:pageBreakBefore w:val="1"/>
      </w:pPr>
      <w:r w:rsidRPr="3F523891" w:rsidR="3F523891">
        <w:rPr>
          <w:lang w:val="en-US"/>
        </w:rPr>
        <w:t>Referencias</w:t>
      </w:r>
    </w:p>
    <w:p xmlns:wp14="http://schemas.microsoft.com/office/word/2010/wordml" w14:paraId="41507EC4" wp14:textId="77777777">
      <w:pPr>
        <w:spacing w:after="160"/>
        <w:ind w:left="720" w:hanging="720"/>
        <w:jc w:val="both"/>
      </w:pPr>
      <w:r w:rsidRPr="3F523891" w:rsidR="3F523891">
        <w:rPr>
          <w:rFonts w:ascii="Times New Roman" w:hAnsi="Times New Roman" w:eastAsia="Times New Roman" w:cs="Times New Roman"/>
          <w:sz w:val="24"/>
          <w:szCs w:val="24"/>
        </w:rPr>
        <w:t xml:space="preserve">Anderson, B. (1983). </w:t>
      </w:r>
      <w:r w:rsidRPr="3F523891" w:rsidR="3F523891">
        <w:rPr>
          <w:rFonts w:ascii="Times New Roman" w:hAnsi="Times New Roman" w:eastAsia="Times New Roman" w:cs="Times New Roman"/>
          <w:i w:val="1"/>
          <w:iCs w:val="1"/>
          <w:sz w:val="24"/>
          <w:szCs w:val="24"/>
        </w:rPr>
        <w:t>Imagined Communities: Reflections on the Origin and Spread of Nationalism</w:t>
      </w:r>
      <w:r w:rsidRPr="3F523891" w:rsidR="3F523891">
        <w:rPr>
          <w:rFonts w:ascii="Times New Roman" w:hAnsi="Times New Roman" w:eastAsia="Times New Roman" w:cs="Times New Roman"/>
          <w:sz w:val="24"/>
          <w:szCs w:val="24"/>
        </w:rPr>
        <w:t>. Verso.</w:t>
      </w:r>
    </w:p>
    <w:p xmlns:wp14="http://schemas.microsoft.com/office/word/2010/wordml" w14:paraId="45812BDA"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Aquino, T. de (1265–1274/1947). </w:t>
      </w:r>
      <w:r w:rsidRPr="3F523891" w:rsidR="3F523891">
        <w:rPr>
          <w:rFonts w:ascii="Times New Roman" w:hAnsi="Times New Roman" w:eastAsia="Times New Roman" w:cs="Times New Roman"/>
          <w:i w:val="1"/>
          <w:iCs w:val="1"/>
          <w:sz w:val="24"/>
          <w:szCs w:val="24"/>
          <w:lang w:val="en-US"/>
        </w:rPr>
        <w:t>Summa Theologiae</w:t>
      </w:r>
      <w:r w:rsidRPr="3F523891" w:rsidR="3F523891">
        <w:rPr>
          <w:rFonts w:ascii="Times New Roman" w:hAnsi="Times New Roman" w:eastAsia="Times New Roman" w:cs="Times New Roman"/>
          <w:sz w:val="24"/>
          <w:szCs w:val="24"/>
          <w:lang w:val="en-US"/>
        </w:rPr>
        <w:t xml:space="preserve"> (Fathers of the English Dominican Province, Trad.). Benziger Bros.</w:t>
      </w:r>
    </w:p>
    <w:p xmlns:wp14="http://schemas.microsoft.com/office/word/2010/wordml" w14:paraId="57E9766A"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Aristóteles (s. IV a.C./1995). </w:t>
      </w:r>
      <w:r w:rsidRPr="3F523891" w:rsidR="3F523891">
        <w:rPr>
          <w:rFonts w:ascii="Times New Roman" w:hAnsi="Times New Roman" w:eastAsia="Times New Roman" w:cs="Times New Roman"/>
          <w:i w:val="1"/>
          <w:iCs w:val="1"/>
          <w:sz w:val="24"/>
          <w:szCs w:val="24"/>
          <w:lang w:val="en-US"/>
        </w:rPr>
        <w:t>Física</w:t>
      </w:r>
      <w:r w:rsidRPr="3F523891" w:rsidR="3F523891">
        <w:rPr>
          <w:rFonts w:ascii="Times New Roman" w:hAnsi="Times New Roman" w:eastAsia="Times New Roman" w:cs="Times New Roman"/>
          <w:sz w:val="24"/>
          <w:szCs w:val="24"/>
          <w:lang w:val="en-US"/>
        </w:rPr>
        <w:t xml:space="preserve"> (G. R. de Echandía, Trad.). Gredos.</w:t>
      </w:r>
    </w:p>
    <w:p xmlns:wp14="http://schemas.microsoft.com/office/word/2010/wordml" w14:paraId="53954134"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Aristóteles (s. IV a.C./1994). </w:t>
      </w:r>
      <w:r w:rsidRPr="3F523891" w:rsidR="3F523891">
        <w:rPr>
          <w:rFonts w:ascii="Times New Roman" w:hAnsi="Times New Roman" w:eastAsia="Times New Roman" w:cs="Times New Roman"/>
          <w:i w:val="1"/>
          <w:iCs w:val="1"/>
          <w:sz w:val="24"/>
          <w:szCs w:val="24"/>
          <w:lang w:val="en-US"/>
        </w:rPr>
        <w:t>Metafísica</w:t>
      </w:r>
      <w:r w:rsidRPr="3F523891" w:rsidR="3F523891">
        <w:rPr>
          <w:rFonts w:ascii="Times New Roman" w:hAnsi="Times New Roman" w:eastAsia="Times New Roman" w:cs="Times New Roman"/>
          <w:sz w:val="24"/>
          <w:szCs w:val="24"/>
          <w:lang w:val="en-US"/>
        </w:rPr>
        <w:t xml:space="preserve"> (T. Calvo Martínez, Trad.). Gredos.</w:t>
      </w:r>
    </w:p>
    <w:p xmlns:wp14="http://schemas.microsoft.com/office/word/2010/wordml" w14:paraId="7A0C2D76"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Aristóteles (s. IV a.C./1988). </w:t>
      </w:r>
      <w:r w:rsidRPr="3F523891" w:rsidR="3F523891">
        <w:rPr>
          <w:rFonts w:ascii="Times New Roman" w:hAnsi="Times New Roman" w:eastAsia="Times New Roman" w:cs="Times New Roman"/>
          <w:i w:val="1"/>
          <w:iCs w:val="1"/>
          <w:sz w:val="24"/>
          <w:szCs w:val="24"/>
          <w:lang w:val="en-US"/>
        </w:rPr>
        <w:t>Política</w:t>
      </w:r>
      <w:r w:rsidRPr="3F523891" w:rsidR="3F523891">
        <w:rPr>
          <w:rFonts w:ascii="Times New Roman" w:hAnsi="Times New Roman" w:eastAsia="Times New Roman" w:cs="Times New Roman"/>
          <w:sz w:val="24"/>
          <w:szCs w:val="24"/>
          <w:lang w:val="en-US"/>
        </w:rPr>
        <w:t xml:space="preserve"> (M. García Valdés, Trad.). Gredos.</w:t>
      </w:r>
    </w:p>
    <w:p xmlns:wp14="http://schemas.microsoft.com/office/word/2010/wordml" w14:paraId="7799EFF9"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Plotino (s. III/1992). </w:t>
      </w:r>
      <w:r w:rsidRPr="3F523891" w:rsidR="3F523891">
        <w:rPr>
          <w:rFonts w:ascii="Times New Roman" w:hAnsi="Times New Roman" w:eastAsia="Times New Roman" w:cs="Times New Roman"/>
          <w:i w:val="1"/>
          <w:iCs w:val="1"/>
          <w:sz w:val="24"/>
          <w:szCs w:val="24"/>
          <w:lang w:val="en-US"/>
        </w:rPr>
        <w:t>Enéadas</w:t>
      </w:r>
      <w:r w:rsidRPr="3F523891" w:rsidR="3F523891">
        <w:rPr>
          <w:rFonts w:ascii="Times New Roman" w:hAnsi="Times New Roman" w:eastAsia="Times New Roman" w:cs="Times New Roman"/>
          <w:sz w:val="24"/>
          <w:szCs w:val="24"/>
          <w:lang w:val="en-US"/>
        </w:rPr>
        <w:t xml:space="preserve"> (J. Igal, Trad.). Gredos.</w:t>
      </w:r>
    </w:p>
    <w:p xmlns:wp14="http://schemas.microsoft.com/office/word/2010/wordml" w14:paraId="60C912A9"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Agustín de Hipona (397–400/2010). </w:t>
      </w:r>
      <w:r w:rsidRPr="3F523891" w:rsidR="3F523891">
        <w:rPr>
          <w:rFonts w:ascii="Times New Roman" w:hAnsi="Times New Roman" w:eastAsia="Times New Roman" w:cs="Times New Roman"/>
          <w:i w:val="1"/>
          <w:iCs w:val="1"/>
          <w:sz w:val="24"/>
          <w:szCs w:val="24"/>
          <w:lang w:val="en-US"/>
        </w:rPr>
        <w:t>Confesiones</w:t>
      </w:r>
      <w:r w:rsidRPr="3F523891" w:rsidR="3F523891">
        <w:rPr>
          <w:rFonts w:ascii="Times New Roman" w:hAnsi="Times New Roman" w:eastAsia="Times New Roman" w:cs="Times New Roman"/>
          <w:sz w:val="24"/>
          <w:szCs w:val="24"/>
          <w:lang w:val="en-US"/>
        </w:rPr>
        <w:t>. BAC.</w:t>
      </w:r>
    </w:p>
    <w:p xmlns:wp14="http://schemas.microsoft.com/office/word/2010/wordml" w14:paraId="5116707D"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Agustín de Hipona (413–426/1958). </w:t>
      </w:r>
      <w:r w:rsidRPr="3F523891" w:rsidR="3F523891">
        <w:rPr>
          <w:rFonts w:ascii="Times New Roman" w:hAnsi="Times New Roman" w:eastAsia="Times New Roman" w:cs="Times New Roman"/>
          <w:i w:val="1"/>
          <w:iCs w:val="1"/>
          <w:sz w:val="24"/>
          <w:szCs w:val="24"/>
          <w:lang w:val="en-US"/>
        </w:rPr>
        <w:t>La ciudad de Dios</w:t>
      </w:r>
      <w:r w:rsidRPr="3F523891" w:rsidR="3F523891">
        <w:rPr>
          <w:rFonts w:ascii="Times New Roman" w:hAnsi="Times New Roman" w:eastAsia="Times New Roman" w:cs="Times New Roman"/>
          <w:sz w:val="24"/>
          <w:szCs w:val="24"/>
          <w:lang w:val="en-US"/>
        </w:rPr>
        <w:t>. BAC.</w:t>
      </w:r>
    </w:p>
    <w:p xmlns:wp14="http://schemas.microsoft.com/office/word/2010/wordml" w14:paraId="1F1E0F97" wp14:textId="77777777">
      <w:pPr>
        <w:spacing w:after="160"/>
        <w:ind w:left="720" w:hanging="720"/>
        <w:jc w:val="both"/>
      </w:pPr>
      <w:r w:rsidRPr="3F523891" w:rsidR="3F523891">
        <w:rPr>
          <w:rFonts w:ascii="Times New Roman" w:hAnsi="Times New Roman" w:eastAsia="Times New Roman" w:cs="Times New Roman"/>
          <w:sz w:val="24"/>
          <w:szCs w:val="24"/>
        </w:rPr>
        <w:t xml:space="preserve">Brubaker, R. (1992). </w:t>
      </w:r>
      <w:r w:rsidRPr="3F523891" w:rsidR="3F523891">
        <w:rPr>
          <w:rFonts w:ascii="Times New Roman" w:hAnsi="Times New Roman" w:eastAsia="Times New Roman" w:cs="Times New Roman"/>
          <w:i w:val="1"/>
          <w:iCs w:val="1"/>
          <w:sz w:val="24"/>
          <w:szCs w:val="24"/>
        </w:rPr>
        <w:t>Citizenship and Nationhood in France and Germany</w:t>
      </w:r>
      <w:r w:rsidRPr="3F523891" w:rsidR="3F523891">
        <w:rPr>
          <w:rFonts w:ascii="Times New Roman" w:hAnsi="Times New Roman" w:eastAsia="Times New Roman" w:cs="Times New Roman"/>
          <w:sz w:val="24"/>
          <w:szCs w:val="24"/>
        </w:rPr>
        <w:t>. Harvard University Press.</w:t>
      </w:r>
    </w:p>
    <w:p xmlns:wp14="http://schemas.microsoft.com/office/word/2010/wordml" w14:paraId="2ACB6E2C"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De Benoist, A. (1981/2017). </w:t>
      </w:r>
      <w:r w:rsidRPr="3F523891" w:rsidR="3F523891">
        <w:rPr>
          <w:rFonts w:ascii="Times New Roman" w:hAnsi="Times New Roman" w:eastAsia="Times New Roman" w:cs="Times New Roman"/>
          <w:i w:val="1"/>
          <w:iCs w:val="1"/>
          <w:sz w:val="24"/>
          <w:szCs w:val="24"/>
          <w:lang w:val="en-US"/>
        </w:rPr>
        <w:t>On Being a Pagan</w:t>
      </w:r>
      <w:r w:rsidRPr="3F523891" w:rsidR="3F523891">
        <w:rPr>
          <w:rFonts w:ascii="Times New Roman" w:hAnsi="Times New Roman" w:eastAsia="Times New Roman" w:cs="Times New Roman"/>
          <w:sz w:val="24"/>
          <w:szCs w:val="24"/>
          <w:lang w:val="en-US"/>
        </w:rPr>
        <w:t>. Arktos.</w:t>
      </w:r>
    </w:p>
    <w:p xmlns:wp14="http://schemas.microsoft.com/office/word/2010/wordml" w14:paraId="1CA274F1"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Donoso Cortés, J. (1851/1970). </w:t>
      </w:r>
      <w:r w:rsidRPr="3F523891" w:rsidR="3F523891">
        <w:rPr>
          <w:rFonts w:ascii="Times New Roman" w:hAnsi="Times New Roman" w:eastAsia="Times New Roman" w:cs="Times New Roman"/>
          <w:i w:val="1"/>
          <w:iCs w:val="1"/>
          <w:sz w:val="24"/>
          <w:szCs w:val="24"/>
          <w:lang w:val="en-US"/>
        </w:rPr>
        <w:t>Ensayo sobre el catolicismo, el liberalismo y el socialismo</w:t>
      </w:r>
      <w:r w:rsidRPr="3F523891" w:rsidR="3F523891">
        <w:rPr>
          <w:rFonts w:ascii="Times New Roman" w:hAnsi="Times New Roman" w:eastAsia="Times New Roman" w:cs="Times New Roman"/>
          <w:sz w:val="24"/>
          <w:szCs w:val="24"/>
          <w:lang w:val="en-US"/>
        </w:rPr>
        <w:t>. Editora Nacional.</w:t>
      </w:r>
    </w:p>
    <w:p xmlns:wp14="http://schemas.microsoft.com/office/word/2010/wordml" w14:paraId="581E2654"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Evola, J. (1934/1995). </w:t>
      </w:r>
      <w:r w:rsidRPr="3F523891" w:rsidR="3F523891">
        <w:rPr>
          <w:rFonts w:ascii="Times New Roman" w:hAnsi="Times New Roman" w:eastAsia="Times New Roman" w:cs="Times New Roman"/>
          <w:i w:val="1"/>
          <w:iCs w:val="1"/>
          <w:sz w:val="24"/>
          <w:szCs w:val="24"/>
          <w:lang w:val="en-US"/>
        </w:rPr>
        <w:t>Rivolta contro il mondo moderno</w:t>
      </w:r>
      <w:r w:rsidRPr="3F523891" w:rsidR="3F523891">
        <w:rPr>
          <w:rFonts w:ascii="Times New Roman" w:hAnsi="Times New Roman" w:eastAsia="Times New Roman" w:cs="Times New Roman"/>
          <w:sz w:val="24"/>
          <w:szCs w:val="24"/>
          <w:lang w:val="en-US"/>
        </w:rPr>
        <w:t>. Edizioni Mediterranee.</w:t>
      </w:r>
    </w:p>
    <w:p xmlns:wp14="http://schemas.microsoft.com/office/word/2010/wordml" w14:paraId="5B22913E" wp14:textId="77777777">
      <w:pPr>
        <w:spacing w:after="160"/>
        <w:ind w:left="720" w:hanging="720"/>
        <w:jc w:val="both"/>
      </w:pPr>
      <w:r w:rsidRPr="3F523891" w:rsidR="3F523891">
        <w:rPr>
          <w:rFonts w:ascii="Times New Roman" w:hAnsi="Times New Roman" w:eastAsia="Times New Roman" w:cs="Times New Roman"/>
          <w:sz w:val="24"/>
          <w:szCs w:val="24"/>
        </w:rPr>
        <w:t xml:space="preserve">Gellner, E. (1983). </w:t>
      </w:r>
      <w:r w:rsidRPr="3F523891" w:rsidR="3F523891">
        <w:rPr>
          <w:rFonts w:ascii="Times New Roman" w:hAnsi="Times New Roman" w:eastAsia="Times New Roman" w:cs="Times New Roman"/>
          <w:i w:val="1"/>
          <w:iCs w:val="1"/>
          <w:sz w:val="24"/>
          <w:szCs w:val="24"/>
        </w:rPr>
        <w:t>Nations and Nationalism</w:t>
      </w:r>
      <w:r w:rsidRPr="3F523891" w:rsidR="3F523891">
        <w:rPr>
          <w:rFonts w:ascii="Times New Roman" w:hAnsi="Times New Roman" w:eastAsia="Times New Roman" w:cs="Times New Roman"/>
          <w:sz w:val="24"/>
          <w:szCs w:val="24"/>
        </w:rPr>
        <w:t>. Cornell University Press.</w:t>
      </w:r>
    </w:p>
    <w:p xmlns:wp14="http://schemas.microsoft.com/office/word/2010/wordml" w14:paraId="105F8B34"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Gómez Dávila, N. (1977/2005). </w:t>
      </w:r>
      <w:r w:rsidRPr="3F523891" w:rsidR="3F523891">
        <w:rPr>
          <w:rFonts w:ascii="Times New Roman" w:hAnsi="Times New Roman" w:eastAsia="Times New Roman" w:cs="Times New Roman"/>
          <w:i w:val="1"/>
          <w:iCs w:val="1"/>
          <w:sz w:val="24"/>
          <w:szCs w:val="24"/>
          <w:lang w:val="en-US"/>
        </w:rPr>
        <w:t>Escolios a un texto implícito</w:t>
      </w:r>
      <w:r w:rsidRPr="3F523891" w:rsidR="3F523891">
        <w:rPr>
          <w:rFonts w:ascii="Times New Roman" w:hAnsi="Times New Roman" w:eastAsia="Times New Roman" w:cs="Times New Roman"/>
          <w:sz w:val="24"/>
          <w:szCs w:val="24"/>
          <w:lang w:val="en-US"/>
        </w:rPr>
        <w:t>. Villegas Editores.</w:t>
      </w:r>
    </w:p>
    <w:p xmlns:wp14="http://schemas.microsoft.com/office/word/2010/wordml" w14:paraId="2D1917C4"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Schmitt, C. (1923/2009). </w:t>
      </w:r>
      <w:r w:rsidRPr="3F523891" w:rsidR="3F523891">
        <w:rPr>
          <w:rFonts w:ascii="Times New Roman" w:hAnsi="Times New Roman" w:eastAsia="Times New Roman" w:cs="Times New Roman"/>
          <w:i w:val="1"/>
          <w:iCs w:val="1"/>
          <w:sz w:val="24"/>
          <w:szCs w:val="24"/>
          <w:lang w:val="en-US"/>
        </w:rPr>
        <w:t>Catolicismo romano y forma política</w:t>
      </w:r>
      <w:r w:rsidRPr="3F523891" w:rsidR="3F523891">
        <w:rPr>
          <w:rFonts w:ascii="Times New Roman" w:hAnsi="Times New Roman" w:eastAsia="Times New Roman" w:cs="Times New Roman"/>
          <w:sz w:val="24"/>
          <w:szCs w:val="24"/>
          <w:lang w:val="en-US"/>
        </w:rPr>
        <w:t>. Tecnos.</w:t>
      </w:r>
    </w:p>
    <w:p xmlns:wp14="http://schemas.microsoft.com/office/word/2010/wordml" w14:paraId="6DBB3211"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Schmitt, C. (1932/2009). </w:t>
      </w:r>
      <w:r w:rsidRPr="3F523891" w:rsidR="3F523891">
        <w:rPr>
          <w:rFonts w:ascii="Times New Roman" w:hAnsi="Times New Roman" w:eastAsia="Times New Roman" w:cs="Times New Roman"/>
          <w:i w:val="1"/>
          <w:iCs w:val="1"/>
          <w:sz w:val="24"/>
          <w:szCs w:val="24"/>
          <w:lang w:val="en-US"/>
        </w:rPr>
        <w:t>El concepto de lo político</w:t>
      </w:r>
      <w:r w:rsidRPr="3F523891" w:rsidR="3F523891">
        <w:rPr>
          <w:rFonts w:ascii="Times New Roman" w:hAnsi="Times New Roman" w:eastAsia="Times New Roman" w:cs="Times New Roman"/>
          <w:sz w:val="24"/>
          <w:szCs w:val="24"/>
          <w:lang w:val="en-US"/>
        </w:rPr>
        <w:t>. Alianza Editorial.</w:t>
      </w:r>
    </w:p>
    <w:p xmlns:wp14="http://schemas.microsoft.com/office/word/2010/wordml" w14:paraId="73D9FAEA" wp14:textId="77777777">
      <w:pPr>
        <w:spacing w:after="160"/>
        <w:ind w:left="720" w:hanging="720"/>
        <w:jc w:val="both"/>
      </w:pPr>
      <w:r w:rsidRPr="3F523891" w:rsidR="3F523891">
        <w:rPr>
          <w:rFonts w:ascii="Times New Roman" w:hAnsi="Times New Roman" w:eastAsia="Times New Roman" w:cs="Times New Roman"/>
          <w:sz w:val="24"/>
          <w:szCs w:val="24"/>
        </w:rPr>
        <w:t xml:space="preserve">Scruton, R. (2004). </w:t>
      </w:r>
      <w:r w:rsidRPr="3F523891" w:rsidR="3F523891">
        <w:rPr>
          <w:rFonts w:ascii="Times New Roman" w:hAnsi="Times New Roman" w:eastAsia="Times New Roman" w:cs="Times New Roman"/>
          <w:i w:val="1"/>
          <w:iCs w:val="1"/>
          <w:sz w:val="24"/>
          <w:szCs w:val="24"/>
        </w:rPr>
        <w:t>The Need for Nations</w:t>
      </w:r>
      <w:r w:rsidRPr="3F523891" w:rsidR="3F523891">
        <w:rPr>
          <w:rFonts w:ascii="Times New Roman" w:hAnsi="Times New Roman" w:eastAsia="Times New Roman" w:cs="Times New Roman"/>
          <w:sz w:val="24"/>
          <w:szCs w:val="24"/>
        </w:rPr>
        <w:t>. Civitas.</w:t>
      </w:r>
    </w:p>
    <w:p xmlns:wp14="http://schemas.microsoft.com/office/word/2010/wordml" w14:paraId="7A995BC7" wp14:textId="77777777">
      <w:pPr>
        <w:spacing w:after="160"/>
        <w:ind w:left="720" w:hanging="720"/>
        <w:jc w:val="both"/>
      </w:pPr>
      <w:r w:rsidRPr="3F523891" w:rsidR="3F523891">
        <w:rPr>
          <w:rFonts w:ascii="Times New Roman" w:hAnsi="Times New Roman" w:eastAsia="Times New Roman" w:cs="Times New Roman"/>
          <w:sz w:val="24"/>
          <w:szCs w:val="24"/>
        </w:rPr>
        <w:t xml:space="preserve">Scruton, R. (2017). </w:t>
      </w:r>
      <w:r w:rsidRPr="3F523891" w:rsidR="3F523891">
        <w:rPr>
          <w:rFonts w:ascii="Times New Roman" w:hAnsi="Times New Roman" w:eastAsia="Times New Roman" w:cs="Times New Roman"/>
          <w:i w:val="1"/>
          <w:iCs w:val="1"/>
          <w:sz w:val="24"/>
          <w:szCs w:val="24"/>
        </w:rPr>
        <w:t>Where We Are: The State of Britain Now</w:t>
      </w:r>
      <w:r w:rsidRPr="3F523891" w:rsidR="3F523891">
        <w:rPr>
          <w:rFonts w:ascii="Times New Roman" w:hAnsi="Times New Roman" w:eastAsia="Times New Roman" w:cs="Times New Roman"/>
          <w:sz w:val="24"/>
          <w:szCs w:val="24"/>
        </w:rPr>
        <w:t>. Bloomsbury.</w:t>
      </w:r>
    </w:p>
    <w:p xmlns:wp14="http://schemas.microsoft.com/office/word/2010/wordml" w14:paraId="7ABDBD48" wp14:textId="77777777">
      <w:pPr>
        <w:spacing w:after="160"/>
        <w:ind w:left="720" w:hanging="720"/>
        <w:jc w:val="both"/>
      </w:pPr>
      <w:r w:rsidRPr="3F523891" w:rsidR="3F523891">
        <w:rPr>
          <w:rFonts w:ascii="Times New Roman" w:hAnsi="Times New Roman" w:eastAsia="Times New Roman" w:cs="Times New Roman"/>
          <w:sz w:val="24"/>
          <w:szCs w:val="24"/>
        </w:rPr>
        <w:t xml:space="preserve">Smith, A. D. (1986). </w:t>
      </w:r>
      <w:r w:rsidRPr="3F523891" w:rsidR="3F523891">
        <w:rPr>
          <w:rFonts w:ascii="Times New Roman" w:hAnsi="Times New Roman" w:eastAsia="Times New Roman" w:cs="Times New Roman"/>
          <w:i w:val="1"/>
          <w:iCs w:val="1"/>
          <w:sz w:val="24"/>
          <w:szCs w:val="24"/>
        </w:rPr>
        <w:t>The Ethnic Origins of Nations</w:t>
      </w:r>
      <w:r w:rsidRPr="3F523891" w:rsidR="3F523891">
        <w:rPr>
          <w:rFonts w:ascii="Times New Roman" w:hAnsi="Times New Roman" w:eastAsia="Times New Roman" w:cs="Times New Roman"/>
          <w:sz w:val="24"/>
          <w:szCs w:val="24"/>
        </w:rPr>
        <w:t>. Blackwell.</w:t>
      </w:r>
    </w:p>
    <w:p xmlns:wp14="http://schemas.microsoft.com/office/word/2010/wordml" w14:paraId="1034666C" wp14:textId="77777777">
      <w:pPr>
        <w:spacing w:after="160"/>
        <w:ind w:left="720" w:hanging="720"/>
        <w:jc w:val="both"/>
      </w:pPr>
      <w:r w:rsidRPr="3F523891" w:rsidR="3F523891">
        <w:rPr>
          <w:rFonts w:ascii="Times New Roman" w:hAnsi="Times New Roman" w:eastAsia="Times New Roman" w:cs="Times New Roman"/>
          <w:sz w:val="24"/>
          <w:szCs w:val="24"/>
        </w:rPr>
        <w:t xml:space="preserve">Smith, A. D. (1991). </w:t>
      </w:r>
      <w:r w:rsidRPr="3F523891" w:rsidR="3F523891">
        <w:rPr>
          <w:rFonts w:ascii="Times New Roman" w:hAnsi="Times New Roman" w:eastAsia="Times New Roman" w:cs="Times New Roman"/>
          <w:i w:val="1"/>
          <w:iCs w:val="1"/>
          <w:sz w:val="24"/>
          <w:szCs w:val="24"/>
        </w:rPr>
        <w:t>National Identity</w:t>
      </w:r>
      <w:r w:rsidRPr="3F523891" w:rsidR="3F523891">
        <w:rPr>
          <w:rFonts w:ascii="Times New Roman" w:hAnsi="Times New Roman" w:eastAsia="Times New Roman" w:cs="Times New Roman"/>
          <w:sz w:val="24"/>
          <w:szCs w:val="24"/>
        </w:rPr>
        <w:t>. University of Nevada Press.</w:t>
      </w:r>
    </w:p>
    <w:p xmlns:wp14="http://schemas.microsoft.com/office/word/2010/wordml" w14:paraId="1808BF53" wp14:textId="77777777">
      <w:pPr>
        <w:spacing w:after="160"/>
        <w:ind w:left="720" w:hanging="720"/>
        <w:jc w:val="both"/>
      </w:pPr>
      <w:r w:rsidRPr="3F523891" w:rsidR="3F523891">
        <w:rPr>
          <w:rFonts w:ascii="Times New Roman" w:hAnsi="Times New Roman" w:eastAsia="Times New Roman" w:cs="Times New Roman"/>
          <w:sz w:val="24"/>
          <w:szCs w:val="24"/>
        </w:rPr>
        <w:t xml:space="preserve">Van den Berghe, P. (1981). </w:t>
      </w:r>
      <w:r w:rsidRPr="3F523891" w:rsidR="3F523891">
        <w:rPr>
          <w:rFonts w:ascii="Times New Roman" w:hAnsi="Times New Roman" w:eastAsia="Times New Roman" w:cs="Times New Roman"/>
          <w:i w:val="1"/>
          <w:iCs w:val="1"/>
          <w:sz w:val="24"/>
          <w:szCs w:val="24"/>
        </w:rPr>
        <w:t>The Ethnic Phenomenon</w:t>
      </w:r>
      <w:r w:rsidRPr="3F523891" w:rsidR="3F523891">
        <w:rPr>
          <w:rFonts w:ascii="Times New Roman" w:hAnsi="Times New Roman" w:eastAsia="Times New Roman" w:cs="Times New Roman"/>
          <w:sz w:val="24"/>
          <w:szCs w:val="24"/>
        </w:rPr>
        <w:t>. Elsevier.</w:t>
      </w:r>
    </w:p>
    <w:p xmlns:wp14="http://schemas.microsoft.com/office/word/2010/wordml" w14:paraId="69B52DE6"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Vitoria, F. de (1539/1989). </w:t>
      </w:r>
      <w:r w:rsidRPr="3F523891" w:rsidR="3F523891">
        <w:rPr>
          <w:rFonts w:ascii="Times New Roman" w:hAnsi="Times New Roman" w:eastAsia="Times New Roman" w:cs="Times New Roman"/>
          <w:i w:val="1"/>
          <w:iCs w:val="1"/>
          <w:sz w:val="24"/>
          <w:szCs w:val="24"/>
          <w:lang w:val="en-US"/>
        </w:rPr>
        <w:t>Relecciones sobre los indios y el derecho de guerra</w:t>
      </w:r>
      <w:r w:rsidRPr="3F523891" w:rsidR="3F523891">
        <w:rPr>
          <w:rFonts w:ascii="Times New Roman" w:hAnsi="Times New Roman" w:eastAsia="Times New Roman" w:cs="Times New Roman"/>
          <w:sz w:val="24"/>
          <w:szCs w:val="24"/>
          <w:lang w:val="en-US"/>
        </w:rPr>
        <w:t>. Espasa-Calpe.</w:t>
      </w:r>
    </w:p>
    <w:p xmlns:wp14="http://schemas.microsoft.com/office/word/2010/wordml" w14:paraId="3A0EE882"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Suárez, F. (1612/1967). </w:t>
      </w:r>
      <w:r w:rsidRPr="3F523891" w:rsidR="3F523891">
        <w:rPr>
          <w:rFonts w:ascii="Times New Roman" w:hAnsi="Times New Roman" w:eastAsia="Times New Roman" w:cs="Times New Roman"/>
          <w:i w:val="1"/>
          <w:iCs w:val="1"/>
          <w:sz w:val="24"/>
          <w:szCs w:val="24"/>
          <w:lang w:val="en-US"/>
        </w:rPr>
        <w:t>Tratado de las leyes y de Dios legislador</w:t>
      </w:r>
      <w:r w:rsidRPr="3F523891" w:rsidR="3F523891">
        <w:rPr>
          <w:rFonts w:ascii="Times New Roman" w:hAnsi="Times New Roman" w:eastAsia="Times New Roman" w:cs="Times New Roman"/>
          <w:sz w:val="24"/>
          <w:szCs w:val="24"/>
          <w:lang w:val="en-US"/>
        </w:rPr>
        <w:t>. Instituto de Estudios Políticos.</w:t>
      </w:r>
    </w:p>
    <w:p xmlns:wp14="http://schemas.microsoft.com/office/word/2010/wordml" w14:paraId="19A5324D" wp14:textId="77777777">
      <w:pPr>
        <w:spacing w:after="160"/>
        <w:ind w:left="720" w:hanging="720"/>
        <w:jc w:val="both"/>
      </w:pPr>
      <w:r w:rsidRPr="3F523891" w:rsidR="3F523891">
        <w:rPr>
          <w:rFonts w:ascii="Times New Roman" w:hAnsi="Times New Roman" w:eastAsia="Times New Roman" w:cs="Times New Roman"/>
          <w:sz w:val="24"/>
          <w:szCs w:val="24"/>
        </w:rPr>
        <w:t xml:space="preserve">Ascherson, N. (1981/2014). </w:t>
      </w:r>
      <w:r w:rsidRPr="3F523891" w:rsidR="3F523891">
        <w:rPr>
          <w:rFonts w:ascii="Times New Roman" w:hAnsi="Times New Roman" w:eastAsia="Times New Roman" w:cs="Times New Roman"/>
          <w:i w:val="1"/>
          <w:iCs w:val="1"/>
          <w:sz w:val="24"/>
          <w:szCs w:val="24"/>
        </w:rPr>
        <w:t>The Polish August: The Self-Limiting Revolution</w:t>
      </w:r>
      <w:r w:rsidRPr="3F523891" w:rsidR="3F523891">
        <w:rPr>
          <w:rFonts w:ascii="Times New Roman" w:hAnsi="Times New Roman" w:eastAsia="Times New Roman" w:cs="Times New Roman"/>
          <w:sz w:val="24"/>
          <w:szCs w:val="24"/>
        </w:rPr>
        <w:t>. Viking Press.</w:t>
      </w:r>
    </w:p>
    <w:p xmlns:wp14="http://schemas.microsoft.com/office/word/2010/wordml" w14:paraId="78B516D3" wp14:textId="77777777">
      <w:pPr>
        <w:spacing w:after="160"/>
        <w:ind w:left="720" w:hanging="720"/>
        <w:jc w:val="both"/>
      </w:pPr>
      <w:r w:rsidRPr="3F523891" w:rsidR="3F523891">
        <w:rPr>
          <w:rFonts w:ascii="Times New Roman" w:hAnsi="Times New Roman" w:eastAsia="Times New Roman" w:cs="Times New Roman"/>
          <w:sz w:val="24"/>
          <w:szCs w:val="24"/>
        </w:rPr>
        <w:t xml:space="preserve">Preston, P. (1994). </w:t>
      </w:r>
      <w:r w:rsidRPr="3F523891" w:rsidR="3F523891">
        <w:rPr>
          <w:rFonts w:ascii="Times New Roman" w:hAnsi="Times New Roman" w:eastAsia="Times New Roman" w:cs="Times New Roman"/>
          <w:i w:val="1"/>
          <w:iCs w:val="1"/>
          <w:sz w:val="24"/>
          <w:szCs w:val="24"/>
        </w:rPr>
        <w:t>Franco: A Biography</w:t>
      </w:r>
      <w:r w:rsidRPr="3F523891" w:rsidR="3F523891">
        <w:rPr>
          <w:rFonts w:ascii="Times New Roman" w:hAnsi="Times New Roman" w:eastAsia="Times New Roman" w:cs="Times New Roman"/>
          <w:sz w:val="24"/>
          <w:szCs w:val="24"/>
        </w:rPr>
        <w:t>. HarperCollins.</w:t>
      </w:r>
    </w:p>
    <w:p xmlns:wp14="http://schemas.microsoft.com/office/word/2010/wordml" w14:paraId="2854D6B4" wp14:textId="77777777">
      <w:pPr>
        <w:spacing w:after="160"/>
        <w:ind w:left="720" w:hanging="720"/>
        <w:jc w:val="both"/>
      </w:pPr>
      <w:r w:rsidRPr="3F523891" w:rsidR="3F523891">
        <w:rPr>
          <w:rFonts w:ascii="Times New Roman" w:hAnsi="Times New Roman" w:eastAsia="Times New Roman" w:cs="Times New Roman"/>
          <w:sz w:val="24"/>
          <w:szCs w:val="24"/>
        </w:rPr>
        <w:t xml:space="preserve">Weigel, G. (1992). </w:t>
      </w:r>
      <w:r w:rsidRPr="3F523891" w:rsidR="3F523891">
        <w:rPr>
          <w:rFonts w:ascii="Times New Roman" w:hAnsi="Times New Roman" w:eastAsia="Times New Roman" w:cs="Times New Roman"/>
          <w:i w:val="1"/>
          <w:iCs w:val="1"/>
          <w:sz w:val="24"/>
          <w:szCs w:val="24"/>
        </w:rPr>
        <w:t>The Final Revolution: The Resistance Church and the Collapse of Communism</w:t>
      </w:r>
      <w:r w:rsidRPr="3F523891" w:rsidR="3F523891">
        <w:rPr>
          <w:rFonts w:ascii="Times New Roman" w:hAnsi="Times New Roman" w:eastAsia="Times New Roman" w:cs="Times New Roman"/>
          <w:sz w:val="24"/>
          <w:szCs w:val="24"/>
        </w:rPr>
        <w:t>. Oxford University Press.</w:t>
      </w:r>
    </w:p>
    <w:p xmlns:wp14="http://schemas.microsoft.com/office/word/2010/wordml" w14:paraId="031438E9"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Rashdall, H. (1936/1997). </w:t>
      </w:r>
      <w:r w:rsidRPr="3F523891" w:rsidR="3F523891">
        <w:rPr>
          <w:rFonts w:ascii="Times New Roman" w:hAnsi="Times New Roman" w:eastAsia="Times New Roman" w:cs="Times New Roman"/>
          <w:i w:val="1"/>
          <w:iCs w:val="1"/>
          <w:sz w:val="24"/>
          <w:szCs w:val="24"/>
          <w:lang w:val="en-US"/>
        </w:rPr>
        <w:t>The Universities of Europe in the Middle Ages</w:t>
      </w:r>
      <w:r w:rsidRPr="3F523891" w:rsidR="3F523891">
        <w:rPr>
          <w:rFonts w:ascii="Times New Roman" w:hAnsi="Times New Roman" w:eastAsia="Times New Roman" w:cs="Times New Roman"/>
          <w:sz w:val="24"/>
          <w:szCs w:val="24"/>
          <w:lang w:val="en-US"/>
        </w:rPr>
        <w:t>. Oxford University Press.</w:t>
      </w:r>
    </w:p>
    <w:p xmlns:wp14="http://schemas.microsoft.com/office/word/2010/wordml" w14:paraId="05C008A1" wp14:textId="77777777">
      <w:pPr>
        <w:spacing w:after="160"/>
        <w:ind w:left="720" w:hanging="720"/>
        <w:jc w:val="both"/>
      </w:pPr>
      <w:r w:rsidRPr="3F523891" w:rsidR="3F523891">
        <w:rPr>
          <w:rFonts w:ascii="Times New Roman" w:hAnsi="Times New Roman" w:eastAsia="Times New Roman" w:cs="Times New Roman"/>
          <w:sz w:val="24"/>
          <w:szCs w:val="24"/>
          <w:lang w:val="en-US"/>
        </w:rPr>
        <w:t xml:space="preserve">Verger, J. (1973/1999). </w:t>
      </w:r>
      <w:r w:rsidRPr="3F523891" w:rsidR="3F523891">
        <w:rPr>
          <w:rFonts w:ascii="Times New Roman" w:hAnsi="Times New Roman" w:eastAsia="Times New Roman" w:cs="Times New Roman"/>
          <w:i w:val="1"/>
          <w:iCs w:val="1"/>
          <w:sz w:val="24"/>
          <w:szCs w:val="24"/>
          <w:lang w:val="en-US"/>
        </w:rPr>
        <w:t>Las universidades en la Edad Media</w:t>
      </w:r>
      <w:r w:rsidRPr="3F523891" w:rsidR="3F523891">
        <w:rPr>
          <w:rFonts w:ascii="Times New Roman" w:hAnsi="Times New Roman" w:eastAsia="Times New Roman" w:cs="Times New Roman"/>
          <w:sz w:val="24"/>
          <w:szCs w:val="24"/>
          <w:lang w:val="en-US"/>
        </w:rPr>
        <w:t>. Cátedra.</w:t>
      </w:r>
    </w:p>
    <w:p xmlns:wp14="http://schemas.microsoft.com/office/word/2010/wordml" w14:paraId="74FEA1B0" wp14:textId="77777777">
      <w:pPr>
        <w:spacing w:after="160"/>
        <w:ind w:left="720" w:hanging="720"/>
        <w:jc w:val="both"/>
      </w:pPr>
      <w:r w:rsidRPr="3F523891" w:rsidR="3F523891">
        <w:rPr>
          <w:rFonts w:ascii="Times New Roman" w:hAnsi="Times New Roman" w:eastAsia="Times New Roman" w:cs="Times New Roman"/>
          <w:sz w:val="24"/>
          <w:szCs w:val="24"/>
        </w:rPr>
        <w:t xml:space="preserve">Mosse, G. L. (1975/2005). </w:t>
      </w:r>
      <w:r w:rsidRPr="3F523891" w:rsidR="3F523891">
        <w:rPr>
          <w:rFonts w:ascii="Times New Roman" w:hAnsi="Times New Roman" w:eastAsia="Times New Roman" w:cs="Times New Roman"/>
          <w:i w:val="1"/>
          <w:iCs w:val="1"/>
          <w:sz w:val="24"/>
          <w:szCs w:val="24"/>
        </w:rPr>
        <w:t>The Nationalization of the Masses: Political Symbolism and Mass Movements</w:t>
      </w:r>
      <w:r w:rsidRPr="3F523891" w:rsidR="3F523891">
        <w:rPr>
          <w:rFonts w:ascii="Times New Roman" w:hAnsi="Times New Roman" w:eastAsia="Times New Roman" w:cs="Times New Roman"/>
          <w:sz w:val="24"/>
          <w:szCs w:val="24"/>
        </w:rPr>
        <w:t>. Howard Fertig.</w:t>
      </w:r>
    </w:p>
    <w:p xmlns:wp14="http://schemas.microsoft.com/office/word/2010/wordml" w14:paraId="724B07F8" wp14:textId="77777777">
      <w:pPr>
        <w:spacing w:after="160" w:line="360" w:lineRule="auto"/>
        <w:ind w:firstLine="480"/>
        <w:jc w:val="both"/>
      </w:pPr>
      <w:r w:rsidRPr="3F523891" w:rsidR="3F523891">
        <w:rPr>
          <w:rFonts w:ascii="Times New Roman" w:hAnsi="Times New Roman" w:eastAsia="Times New Roman" w:cs="Times New Roman"/>
          <w:sz w:val="24"/>
          <w:szCs w:val="24"/>
          <w:lang w:val="en-US"/>
        </w:rPr>
        <w:t>Una última palabra, a modo de cierre definitivo de este adelanto extenso, sobre la relación entre el rigor filosófico aquí desplegado y la urgencia política que motiva su redacción. Ningún lector atento de este ensayo debería concluir, de la extensión y el detalle con que se han examinado las fuentes clásicas y contemporáneas a lo largo de sus diez movimientos, que el proyecto de la UNC es, ante todo, un ejercicio de erudición filosófica distante de la acción política concreta. Exactamente lo contrario es el caso: precisamente porque la hora histórica colombiana exige una respuesta política seria y duradera, y no una mera reacción coyuntural a la crisis del momento, resulta indispensable que esa respuesta se funde sobre el armazón metafísico más sólido disponible, capaz de sostenerse frente a generaciones de crítica intelectual adversa y de orientar coherentemente la acción de la organización mucho más allá de cualquier coyuntura electoral o mediática particular. Ese armazón es el que este ensayo ha intentado proveer, y su desarrollo ulterior en la versión definitiva del documento, junto con los materiales programáticos complementarios que de él habrán de derivarse, constituye la tarea doctrinal central que la Unión Nacionalista Colombiana tiene por delante en los años venideros.</w:t>
      </w:r>
    </w:p>
    <w:p xmlns:wp14="http://schemas.microsoft.com/office/word/2010/wordml" w14:paraId="1A5C53F6" wp14:textId="65C51238">
      <w:pPr>
        <w:spacing w:after="160" w:line="360" w:lineRule="auto"/>
        <w:ind w:firstLine="480"/>
        <w:jc w:val="both"/>
      </w:pPr>
      <w:r w:rsidRPr="3F523891" w:rsidR="3F523891">
        <w:rPr>
          <w:rFonts w:ascii="Times New Roman" w:hAnsi="Times New Roman" w:eastAsia="Times New Roman" w:cs="Times New Roman"/>
          <w:sz w:val="24"/>
          <w:szCs w:val="24"/>
          <w:lang w:val="en-US"/>
        </w:rPr>
        <w:t xml:space="preserve">Un último apunte cierra este documento de trabajo: la extensión considerable que este adelanto ha alcanzado en sus diez movimientos argumentativos no debe interpretarse como un fin en sí mismo, sino como el reflejo necesario de la seriedad con que la UNC pretende abordar la fundamentación doctrinal de su proyecto político, frente a la superficialidad que con frecuencia caracteriza al debate público contemporáneo sobre estas mismas cuestiones. </w:t>
      </w:r>
    </w:p>
    <w:p xmlns:wp14="http://schemas.microsoft.com/office/word/2010/wordml" w:rsidP="3F523891" w14:paraId="4B3BF42B" wp14:textId="25DBE25C">
      <w:pPr>
        <w:spacing w:after="160" w:line="360" w:lineRule="auto"/>
        <w:ind w:firstLine="480"/>
        <w:jc w:val="both"/>
        <w:rPr>
          <w:rFonts w:ascii="Times New Roman" w:hAnsi="Times New Roman" w:eastAsia="Times New Roman" w:cs="Times New Roman"/>
          <w:sz w:val="24"/>
          <w:szCs w:val="24"/>
          <w:lang w:val="en-US"/>
        </w:rPr>
      </w:pPr>
    </w:p>
    <w:sectPr>
      <w:headerReference w:type="default" r:id="rId7"/>
      <w:footerReference w:type="default" r:id="rId8"/>
      <w:pgSz w:w="12240" w:h="15840" w:orient="portrait"/>
      <w:pgMar w:top="1440" w:right="1440" w:bottom="144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133EDD17" wp14:textId="77777777">
    <w:pPr>
      <w:jc w:val="center"/>
    </w:pPr>
    <w:r w:rsidRPr="3F523891">
      <w:rPr>
        <w:rFonts w:ascii="Times New Roman" w:hAnsi="Times New Roman" w:eastAsia="Times New Roman" w:cs="Times New Roman"/>
        <w:color w:val="595959"/>
        <w:sz w:val="18"/>
        <w:szCs w:val="18"/>
      </w:rPr>
      <w:fldChar w:fldCharType="begin"/>
    </w:r>
    <w:r w:rsidRPr="3F523891">
      <w:rPr>
        <w:rFonts w:ascii="Times New Roman" w:hAnsi="Times New Roman" w:eastAsia="Times New Roman" w:cs="Times New Roman"/>
        <w:color w:val="595959"/>
        <w:sz w:val="18"/>
        <w:szCs w:val="18"/>
      </w:rPr>
      <w:instrText xml:space="preserve">PAGE</w:instrText>
    </w:r>
    <w:r w:rsidRPr="3F523891">
      <w:rPr>
        <w:rFonts w:ascii="Times New Roman" w:hAnsi="Times New Roman" w:eastAsia="Times New Roman" w:cs="Times New Roman"/>
        <w:color w:val="595959"/>
        <w:sz w:val="18"/>
        <w:szCs w:val="18"/>
      </w:rPr>
      <w:fldChar w:fldCharType="separate"/>
    </w:r>
    <w:r w:rsidRPr="3F523891">
      <w:rPr>
        <w:rFonts w:ascii="Times New Roman" w:hAnsi="Times New Roman" w:eastAsia="Times New Roman" w:cs="Times New Roman"/>
        <w:color w:val="595959"/>
        <w:sz w:val="18"/>
        <w:szCs w:val="1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xmlns:wp14="http://schemas.microsoft.com/office/word/2010/wordml" w14:paraId="6E546206" wp14:textId="77777777">
    <w:pPr>
      <w:jc w:val="right"/>
    </w:pPr>
    <w:r w:rsidRPr="3F523891" w:rsidR="3F523891">
      <w:rPr>
        <w:rFonts w:ascii="Times New Roman" w:hAnsi="Times New Roman" w:eastAsia="Times New Roman" w:cs="Times New Roman"/>
        <w:color w:val="595959"/>
        <w:sz w:val="18"/>
        <w:szCs w:val="18"/>
        <w:lang w:val="en-US"/>
      </w:rPr>
      <w:t>UNC — Departamento de Ideología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2c742186"/>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proofState w:spelling="clean" w:grammar="dirty"/>
  <w:trackRevisions w:val="false"/>
  <w:defaultTabStop w:val="720"/>
  <w:evenAndOddHeaders w:val="false"/>
  <w:compat>
    <w:compatSetting w:val="15" w:name="compatibilityMode" w:uri="http://schemas.microsoft.com/office/word"/>
  </w:compat>
  <w14:docId w14:val="24B6D1E4"/>
  <w15:docId w15:val="{5E77A8E4-DADC-4D1B-994E-6180823C7DFE}"/>
  <w:rsids>
    <w:rsidRoot w:val="10E57A68"/>
    <w:rsid w:val="10E57A68"/>
    <w:rsid w:val="156E3B98"/>
    <w:rsid w:val="185E9742"/>
    <w:rsid w:val="21C7CC59"/>
    <w:rsid w:val="25A4C54D"/>
    <w:rsid w:val="2C32CAF9"/>
    <w:rsid w:val="36B44944"/>
    <w:rsid w:val="37829450"/>
    <w:rsid w:val="3A8462BB"/>
    <w:rsid w:val="3A8462BB"/>
    <w:rsid w:val="3F523891"/>
    <w:rsid w:val="45901F9D"/>
    <w:rsid w:val="540EDA45"/>
    <w:rsid w:val="540EDA45"/>
    <w:rsid w:val="5602FE81"/>
    <w:rsid w:val="5892AAC9"/>
    <w:rsid w:val="6CD00E7E"/>
    <w:rsid w:val="6F562033"/>
    <w:rsid w:val="7739ECFF"/>
    <w:rsid w:val="7739ECFF"/>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imes New Roman" w:hAnsi="Times New Roman" w:eastAsia="Times New Roman" w:cs="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0"/>
    <w:basedOn w:val="Normal"/>
    <w:next w:val="Normal"/>
    <w:qFormat/>
    <w:pPr>
      <w:spacing w:before="360" w:after="240"/>
      <w:outlineLvl w:val="0"/>
    </w:pPr>
    <w:rPr>
      <w:rFonts w:ascii="Times New Roman" w:hAnsi="Times New Roman" w:eastAsia="Times New Roman" w:cs="Times New Roman"/>
      <w:b/>
      <w:bCs/>
      <w:sz w:val="28"/>
      <w:szCs w:val="28"/>
    </w:rPr>
  </w:style>
  <w:style w:type="paragraph" w:styleId="Heading2">
    <w:name w:val="heading 20"/>
    <w:basedOn w:val="Normal"/>
    <w:next w:val="Normal"/>
    <w:qFormat/>
    <w:pPr>
      <w:spacing w:before="280" w:after="180"/>
      <w:outlineLvl w:val="1"/>
    </w:pPr>
    <w:rPr>
      <w:rFonts w:ascii="Times New Roman" w:hAnsi="Times New Roman" w:eastAsia="Times New Roman" w:cs="Times New Roman"/>
      <w:b/>
      <w:bCs/>
      <w:sz w:val="26"/>
      <w:szCs w:val="26"/>
    </w:rPr>
  </w:style>
  <w:style w:type="paragraph" w:styleId="Normal" w:default="1">
    <w:uiPriority w:val="0"/>
    <w:name w:val="Normal"/>
    <w:qFormat/>
    <w:rsid w:val="3F523891"/>
    <w:rPr>
      <w:noProof w:val="0"/>
      <w:lang w:val="es-CO"/>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header" Target="header1.xml" Id="rId7" /><Relationship Type="http://schemas.openxmlformats.org/officeDocument/2006/relationships/footer" Target="footer1.xml" Id="rId8" /><Relationship Type="http://schemas.openxmlformats.org/officeDocument/2006/relationships/fontTable" Target="fontTable.xml" Id="rId9"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Nicolás Ocampo</lastModifiedBy>
  <revision>2</revision>
  <dcterms:created xsi:type="dcterms:W3CDTF">2026-06-22T23:31:43.3770000Z</dcterms:created>
  <dcterms:modified xsi:type="dcterms:W3CDTF">2026-06-23T00:05:20.5849591Z</dcterms:modified>
</coreProperties>
</file>

<file path=docProps/custom.xml><?xml version="1.0" encoding="utf-8"?>
<Properties xmlns="http://schemas.openxmlformats.org/officeDocument/2006/custom-properties" xmlns:vt="http://schemas.openxmlformats.org/officeDocument/2006/docPropsVTypes"/>
</file>